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88EC4" w14:textId="508C0A7B" w:rsidR="007B342C" w:rsidRPr="005D63FD" w:rsidRDefault="004A765C" w:rsidP="00385C9C">
      <w:pPr>
        <w:jc w:val="both"/>
      </w:pPr>
      <w:r>
        <w:t>Transparency, control</w:t>
      </w:r>
      <w:r w:rsidR="003F2C41">
        <w:t xml:space="preserve"> </w:t>
      </w:r>
      <w:r>
        <w:t xml:space="preserve">and accountability are the core principles that influence Magnet Forensics’ approach to protecting your personal data.   </w:t>
      </w:r>
      <w:r w:rsidR="002A5691" w:rsidRPr="005D63FD">
        <w:t xml:space="preserve">This </w:t>
      </w:r>
      <w:r w:rsidR="00F243A5">
        <w:t xml:space="preserve">Personal Data Protection </w:t>
      </w:r>
      <w:r w:rsidR="002A5691" w:rsidRPr="005D63FD">
        <w:t xml:space="preserve">Policy </w:t>
      </w:r>
      <w:r w:rsidR="00F243A5">
        <w:t xml:space="preserve">(“Policy”) </w:t>
      </w:r>
      <w:r w:rsidR="002A5691" w:rsidRPr="005D63FD">
        <w:t xml:space="preserve">sets forth </w:t>
      </w:r>
      <w:r>
        <w:t xml:space="preserve">how Magnet Forensics collects, </w:t>
      </w:r>
      <w:r w:rsidR="00FB67F5">
        <w:t xml:space="preserve">protects and uses the personal data of our </w:t>
      </w:r>
      <w:r w:rsidR="002A5691" w:rsidRPr="005D63FD">
        <w:t xml:space="preserve">customers, suppliers, business partners, </w:t>
      </w:r>
      <w:r w:rsidR="00FB67F5">
        <w:t xml:space="preserve">and </w:t>
      </w:r>
      <w:r w:rsidR="002A5691" w:rsidRPr="005D63FD">
        <w:t>employees</w:t>
      </w:r>
      <w:r w:rsidR="00FB67F5">
        <w:t xml:space="preserve">. </w:t>
      </w:r>
    </w:p>
    <w:p w14:paraId="09A79022" w14:textId="7730AB0A" w:rsidR="00942DA0" w:rsidRDefault="00FB67F5" w:rsidP="00385C9C">
      <w:pPr>
        <w:pStyle w:val="Heading1"/>
        <w:jc w:val="both"/>
      </w:pPr>
      <w:r>
        <w:t>Transparency</w:t>
      </w:r>
    </w:p>
    <w:p w14:paraId="211E971F" w14:textId="7A3678E7" w:rsidR="004C1B1F" w:rsidRPr="004C1B1F" w:rsidRDefault="000926C4" w:rsidP="00385C9C">
      <w:pPr>
        <w:jc w:val="both"/>
      </w:pPr>
      <w:r>
        <w:t>A</w:t>
      </w:r>
      <w:r w:rsidR="00EA4053">
        <w:t xml:space="preserve"> topic</w:t>
      </w:r>
      <w:r>
        <w:t xml:space="preserve"> as dynamic as privacy </w:t>
      </w:r>
      <w:r w:rsidR="00092ED2">
        <w:t xml:space="preserve">requires transparency - </w:t>
      </w:r>
      <w:r w:rsidR="00861559">
        <w:t xml:space="preserve">being open about the data we collect, how that data is </w:t>
      </w:r>
      <w:r w:rsidR="00092ED2">
        <w:t>used,</w:t>
      </w:r>
      <w:r w:rsidR="00861559">
        <w:t xml:space="preserve"> </w:t>
      </w:r>
      <w:r w:rsidR="004A6817">
        <w:t>and where/how long we store the data we collect</w:t>
      </w:r>
      <w:r w:rsidR="00092ED2">
        <w:t xml:space="preserve">. </w:t>
      </w:r>
      <w:r>
        <w:t xml:space="preserve"> </w:t>
      </w:r>
      <w:r w:rsidR="00861559">
        <w:t xml:space="preserve"> </w:t>
      </w:r>
    </w:p>
    <w:p w14:paraId="1194B3B7" w14:textId="076E4EDF" w:rsidR="00CB2B0B" w:rsidRPr="00CB6CF4" w:rsidRDefault="00CB6CF4" w:rsidP="00385C9C">
      <w:pPr>
        <w:jc w:val="both"/>
        <w:rPr>
          <w:u w:val="single"/>
        </w:rPr>
      </w:pPr>
      <w:r>
        <w:rPr>
          <w:u w:val="single"/>
        </w:rPr>
        <w:t>Personal Data</w:t>
      </w:r>
      <w:r w:rsidRPr="00CB6CF4">
        <w:rPr>
          <w:u w:val="single"/>
        </w:rPr>
        <w:t xml:space="preserve"> </w:t>
      </w:r>
      <w:r>
        <w:rPr>
          <w:u w:val="single"/>
        </w:rPr>
        <w:t>W</w:t>
      </w:r>
      <w:r w:rsidRPr="00CB6CF4">
        <w:rPr>
          <w:u w:val="single"/>
        </w:rPr>
        <w:t xml:space="preserve">e </w:t>
      </w:r>
      <w:r>
        <w:rPr>
          <w:u w:val="single"/>
        </w:rPr>
        <w:t>C</w:t>
      </w:r>
      <w:r w:rsidRPr="00CB6CF4">
        <w:rPr>
          <w:u w:val="single"/>
        </w:rPr>
        <w:t>ollect</w:t>
      </w:r>
    </w:p>
    <w:p w14:paraId="420483DD" w14:textId="7C3470C2" w:rsidR="000C0A4C" w:rsidRDefault="00CB6CF4" w:rsidP="00385C9C">
      <w:pPr>
        <w:jc w:val="both"/>
      </w:pPr>
      <w:r>
        <w:t xml:space="preserve">Our primary reason for collecting data is to provide products and services to our customers.  </w:t>
      </w:r>
    </w:p>
    <w:p w14:paraId="06564FA7" w14:textId="0D34FB17" w:rsidR="009D7C8E" w:rsidRDefault="00CB6CF4" w:rsidP="003A1FBB">
      <w:pPr>
        <w:pStyle w:val="ListParagraph"/>
        <w:numPr>
          <w:ilvl w:val="0"/>
          <w:numId w:val="19"/>
        </w:numPr>
        <w:ind w:left="360"/>
        <w:jc w:val="both"/>
      </w:pPr>
      <w:r>
        <w:t>W</w:t>
      </w:r>
      <w:r w:rsidR="00B3056B">
        <w:t xml:space="preserve">e </w:t>
      </w:r>
      <w:r>
        <w:t>collect your data</w:t>
      </w:r>
      <w:r w:rsidR="00B3056B">
        <w:t xml:space="preserve"> when you</w:t>
      </w:r>
      <w:r w:rsidR="00385C9C">
        <w:t>:</w:t>
      </w:r>
    </w:p>
    <w:p w14:paraId="73BF7731" w14:textId="5AB2543B" w:rsidR="00536410" w:rsidRDefault="002B035C" w:rsidP="003A1FBB">
      <w:pPr>
        <w:pStyle w:val="ListParagraph"/>
        <w:numPr>
          <w:ilvl w:val="0"/>
          <w:numId w:val="16"/>
        </w:numPr>
        <w:ind w:left="360"/>
        <w:jc w:val="both"/>
      </w:pPr>
      <w:r>
        <w:t>v</w:t>
      </w:r>
      <w:r w:rsidR="00536410">
        <w:t>isit our offices or contact us;</w:t>
      </w:r>
    </w:p>
    <w:p w14:paraId="1ABE31E1" w14:textId="248EA815" w:rsidR="002B035C" w:rsidRDefault="002B035C" w:rsidP="003A1FBB">
      <w:pPr>
        <w:pStyle w:val="ListParagraph"/>
        <w:numPr>
          <w:ilvl w:val="0"/>
          <w:numId w:val="16"/>
        </w:numPr>
        <w:ind w:left="360"/>
        <w:jc w:val="both"/>
      </w:pPr>
      <w:r>
        <w:t xml:space="preserve">request information about our products and services through our website; </w:t>
      </w:r>
    </w:p>
    <w:p w14:paraId="6DF5D45E" w14:textId="3CF8400E" w:rsidR="00CB6CF4" w:rsidRDefault="002B035C" w:rsidP="003A1FBB">
      <w:pPr>
        <w:pStyle w:val="ListParagraph"/>
        <w:numPr>
          <w:ilvl w:val="0"/>
          <w:numId w:val="16"/>
        </w:numPr>
        <w:ind w:left="360"/>
        <w:jc w:val="both"/>
      </w:pPr>
      <w:r>
        <w:t>p</w:t>
      </w:r>
      <w:r w:rsidR="00CB6CF4">
        <w:t>urchase our products and related services;</w:t>
      </w:r>
    </w:p>
    <w:p w14:paraId="74198C57" w14:textId="2FFE1723" w:rsidR="00CB6CF4" w:rsidRDefault="002B035C" w:rsidP="003A1FBB">
      <w:pPr>
        <w:pStyle w:val="ListParagraph"/>
        <w:numPr>
          <w:ilvl w:val="0"/>
          <w:numId w:val="16"/>
        </w:numPr>
        <w:ind w:left="360"/>
        <w:jc w:val="both"/>
      </w:pPr>
      <w:r>
        <w:t>r</w:t>
      </w:r>
      <w:r w:rsidR="00536410">
        <w:t>espond to surveys, request whitepapers/newsletters</w:t>
      </w:r>
      <w:r>
        <w:t>/access to blogs</w:t>
      </w:r>
      <w:r w:rsidR="00536410">
        <w:t xml:space="preserve">; </w:t>
      </w:r>
    </w:p>
    <w:p w14:paraId="1D37A8AD" w14:textId="360ADE8F" w:rsidR="002B035C" w:rsidRDefault="002B035C" w:rsidP="003A1FBB">
      <w:pPr>
        <w:pStyle w:val="ListParagraph"/>
        <w:numPr>
          <w:ilvl w:val="0"/>
          <w:numId w:val="16"/>
        </w:numPr>
        <w:ind w:left="360"/>
        <w:jc w:val="both"/>
      </w:pPr>
      <w:r>
        <w:t>attend Magnet Forensics’ events and/or Magnet Forensics’ booth at tradeshows; and</w:t>
      </w:r>
    </w:p>
    <w:p w14:paraId="15239581" w14:textId="58A3C618" w:rsidR="002B035C" w:rsidRDefault="002B035C" w:rsidP="003A1FBB">
      <w:pPr>
        <w:pStyle w:val="ListParagraph"/>
        <w:numPr>
          <w:ilvl w:val="0"/>
          <w:numId w:val="16"/>
        </w:numPr>
        <w:ind w:left="360"/>
        <w:jc w:val="both"/>
      </w:pPr>
      <w:r>
        <w:t xml:space="preserve"> apply for employment at Magnet Forensics</w:t>
      </w:r>
      <w:r w:rsidR="00B3056B">
        <w:t>.</w:t>
      </w:r>
      <w:r>
        <w:t xml:space="preserve"> </w:t>
      </w:r>
    </w:p>
    <w:p w14:paraId="5C7D026D" w14:textId="77777777" w:rsidR="00385C9C" w:rsidRDefault="00385C9C" w:rsidP="003A1FBB">
      <w:pPr>
        <w:pStyle w:val="ListParagraph"/>
        <w:ind w:left="708"/>
        <w:jc w:val="both"/>
      </w:pPr>
    </w:p>
    <w:p w14:paraId="32E4A859" w14:textId="46D755BE" w:rsidR="009D7C8E" w:rsidRDefault="00385C9C" w:rsidP="003A1FBB">
      <w:pPr>
        <w:pStyle w:val="ListParagraph"/>
        <w:numPr>
          <w:ilvl w:val="0"/>
          <w:numId w:val="19"/>
        </w:numPr>
        <w:ind w:left="360"/>
        <w:jc w:val="both"/>
      </w:pPr>
      <w:r>
        <w:t>D</w:t>
      </w:r>
      <w:r w:rsidR="002B035C">
        <w:t xml:space="preserve">ata we collect: </w:t>
      </w:r>
    </w:p>
    <w:p w14:paraId="23523329" w14:textId="383A6294" w:rsidR="002B035C" w:rsidRDefault="000C0A4C" w:rsidP="003A1FBB">
      <w:pPr>
        <w:pStyle w:val="ListParagraph"/>
        <w:numPr>
          <w:ilvl w:val="0"/>
          <w:numId w:val="20"/>
        </w:numPr>
        <w:ind w:left="360"/>
        <w:jc w:val="both"/>
      </w:pPr>
      <w:r>
        <w:t xml:space="preserve">names/addresses/emails/phone numbers and other types of contact information; </w:t>
      </w:r>
    </w:p>
    <w:p w14:paraId="7E7D3B19" w14:textId="1480ECCC" w:rsidR="000C0A4C" w:rsidRDefault="000C0A4C" w:rsidP="003A1FBB">
      <w:pPr>
        <w:pStyle w:val="ListParagraph"/>
        <w:numPr>
          <w:ilvl w:val="0"/>
          <w:numId w:val="17"/>
        </w:numPr>
        <w:ind w:left="360"/>
        <w:jc w:val="both"/>
      </w:pPr>
      <w:r>
        <w:t xml:space="preserve">use cases and other relevant information pertaining to how your organization uses our products and related services; and </w:t>
      </w:r>
    </w:p>
    <w:p w14:paraId="08060461" w14:textId="42D2FA98" w:rsidR="00092ED2" w:rsidRDefault="000C0A4C" w:rsidP="003A1FBB">
      <w:pPr>
        <w:pStyle w:val="ListParagraph"/>
        <w:numPr>
          <w:ilvl w:val="0"/>
          <w:numId w:val="17"/>
        </w:numPr>
        <w:ind w:left="360"/>
        <w:jc w:val="both"/>
      </w:pPr>
      <w:r>
        <w:t xml:space="preserve">bank account information/ shipping address/ and other information needed to process orders. </w:t>
      </w:r>
    </w:p>
    <w:p w14:paraId="32E481BF" w14:textId="77777777" w:rsidR="00385C9C" w:rsidRDefault="00385C9C" w:rsidP="003A1FBB">
      <w:pPr>
        <w:pStyle w:val="ListParagraph"/>
        <w:ind w:left="708"/>
        <w:jc w:val="both"/>
      </w:pPr>
    </w:p>
    <w:p w14:paraId="02D42212" w14:textId="1EB3BAE7" w:rsidR="009D7C8E" w:rsidRDefault="00385C9C" w:rsidP="003A1FBB">
      <w:pPr>
        <w:pStyle w:val="ListParagraph"/>
        <w:numPr>
          <w:ilvl w:val="0"/>
          <w:numId w:val="19"/>
        </w:numPr>
        <w:ind w:left="360"/>
        <w:jc w:val="both"/>
      </w:pPr>
      <w:r>
        <w:t xml:space="preserve">How we use </w:t>
      </w:r>
      <w:r w:rsidR="000C0A4C">
        <w:t>the data we collect:</w:t>
      </w:r>
    </w:p>
    <w:p w14:paraId="6CAE0586" w14:textId="0806AAD3" w:rsidR="000C0A4C" w:rsidRDefault="000C0A4C" w:rsidP="003A1FBB">
      <w:pPr>
        <w:pStyle w:val="ListParagraph"/>
        <w:numPr>
          <w:ilvl w:val="0"/>
          <w:numId w:val="18"/>
        </w:numPr>
        <w:ind w:left="360"/>
        <w:jc w:val="both"/>
      </w:pPr>
      <w:r>
        <w:t>fulfil contractual requirements;</w:t>
      </w:r>
    </w:p>
    <w:p w14:paraId="4EB5DB6B" w14:textId="1C6B1944" w:rsidR="000C0A4C" w:rsidRDefault="000C0A4C" w:rsidP="003A1FBB">
      <w:pPr>
        <w:pStyle w:val="ListParagraph"/>
        <w:numPr>
          <w:ilvl w:val="0"/>
          <w:numId w:val="18"/>
        </w:numPr>
        <w:ind w:left="360"/>
        <w:jc w:val="both"/>
      </w:pPr>
      <w:r>
        <w:t xml:space="preserve">communicate </w:t>
      </w:r>
      <w:r w:rsidR="00385C9C">
        <w:t xml:space="preserve">information about Magnet Forensics to potential customers and customers; and </w:t>
      </w:r>
    </w:p>
    <w:p w14:paraId="053F093A" w14:textId="304B311A" w:rsidR="00385C9C" w:rsidRDefault="00385C9C" w:rsidP="003A1FBB">
      <w:pPr>
        <w:pStyle w:val="ListParagraph"/>
        <w:numPr>
          <w:ilvl w:val="0"/>
          <w:numId w:val="18"/>
        </w:numPr>
        <w:ind w:left="360"/>
        <w:jc w:val="both"/>
      </w:pPr>
      <w:r>
        <w:t>hire and manage employees.</w:t>
      </w:r>
    </w:p>
    <w:p w14:paraId="4FA772CF" w14:textId="77777777" w:rsidR="00385C9C" w:rsidRDefault="00385C9C" w:rsidP="003A1FBB">
      <w:pPr>
        <w:pStyle w:val="ListParagraph"/>
        <w:ind w:left="708"/>
        <w:jc w:val="both"/>
      </w:pPr>
    </w:p>
    <w:p w14:paraId="2FFC1286" w14:textId="3566457F" w:rsidR="009D7C8E" w:rsidRPr="00B208FC" w:rsidRDefault="00633EFA" w:rsidP="003A1FBB">
      <w:pPr>
        <w:pStyle w:val="ListParagraph"/>
        <w:numPr>
          <w:ilvl w:val="0"/>
          <w:numId w:val="19"/>
        </w:numPr>
        <w:ind w:left="360"/>
        <w:jc w:val="both"/>
      </w:pPr>
      <w:r>
        <w:t xml:space="preserve"> </w:t>
      </w:r>
      <w:r w:rsidR="00B208FC">
        <w:t>Storage location of the data we collect:</w:t>
      </w:r>
    </w:p>
    <w:p w14:paraId="1932FE2E" w14:textId="0132B44D" w:rsidR="009D7C8E" w:rsidRPr="009D7C8E" w:rsidRDefault="009D7C8E" w:rsidP="003A1FBB">
      <w:pPr>
        <w:pStyle w:val="ListParagraph"/>
        <w:numPr>
          <w:ilvl w:val="0"/>
          <w:numId w:val="21"/>
        </w:numPr>
        <w:ind w:left="360"/>
        <w:jc w:val="both"/>
        <w:rPr>
          <w:rFonts w:ascii="Calibri" w:hAnsi="Calibri" w:cs="Times New Roman"/>
        </w:rPr>
      </w:pPr>
      <w:r>
        <w:t xml:space="preserve">Your personal data is processed at Magnet Forensics’ Canadian offices located at 156 Columbia Street W., Unit 2, Waterloo, Ontario, Canada. Your data which is hosted or stored on Magnet Forensics’ premise is located at 156 Columbia Street W., Unit 2, Waterloo, Ontario, Canada. </w:t>
      </w:r>
    </w:p>
    <w:p w14:paraId="113BB04A" w14:textId="77777777" w:rsidR="009D7C8E" w:rsidRPr="009D7C8E" w:rsidRDefault="009D7C8E" w:rsidP="003A1FBB">
      <w:pPr>
        <w:pStyle w:val="ListParagraph"/>
        <w:ind w:left="360"/>
        <w:jc w:val="both"/>
        <w:rPr>
          <w:rFonts w:ascii="Calibri" w:hAnsi="Calibri" w:cs="Times New Roman"/>
        </w:rPr>
      </w:pPr>
    </w:p>
    <w:p w14:paraId="211BEDF6" w14:textId="75C2822C" w:rsidR="00B3056B" w:rsidRPr="009D7C8E" w:rsidRDefault="009D7C8E" w:rsidP="003A1FBB">
      <w:pPr>
        <w:pStyle w:val="ListParagraph"/>
        <w:numPr>
          <w:ilvl w:val="0"/>
          <w:numId w:val="21"/>
        </w:numPr>
        <w:ind w:left="360"/>
        <w:jc w:val="both"/>
        <w:rPr>
          <w:rFonts w:ascii="Calibri" w:hAnsi="Calibri" w:cs="Times New Roman"/>
        </w:rPr>
      </w:pPr>
      <w:r>
        <w:t>For certain business practices third-party providers have limited access to your data.  These third-party providers are typically vendors of cloud services or other IT hosting services located in either Canada or USA.</w:t>
      </w:r>
      <w:r w:rsidRPr="009D7C8E">
        <w:rPr>
          <w:rFonts w:ascii="Tahoma" w:hAnsi="Tahoma" w:cs="Tahoma"/>
          <w:color w:val="6D6D6D"/>
          <w:sz w:val="27"/>
          <w:szCs w:val="27"/>
        </w:rPr>
        <w:t xml:space="preserve"> </w:t>
      </w:r>
      <w:r>
        <w:t xml:space="preserve">We also may provide your personal </w:t>
      </w:r>
      <w:r w:rsidR="00B208FC">
        <w:t>data</w:t>
      </w:r>
      <w:r>
        <w:t xml:space="preserve"> to our partners as part of the sales cycle.  This can include both pre-sales activities such as lead generation and activities related to processing orders.  When using third-party providers and partners, Magnet Forensics will enter into a data processing agreement to safeguard your privacy rights.  When third-party providers </w:t>
      </w:r>
      <w:r>
        <w:lastRenderedPageBreak/>
        <w:t xml:space="preserve">and partners are located outside the EU, Magnet Forensics ensures legal grounds for such international transfers by relying on Privacy Shield (US) or using the EU Model Clauses.    </w:t>
      </w:r>
    </w:p>
    <w:p w14:paraId="0AF20190" w14:textId="77777777" w:rsidR="009D7C8E" w:rsidRPr="009D7C8E" w:rsidRDefault="009D7C8E" w:rsidP="003A1FBB">
      <w:pPr>
        <w:pStyle w:val="ListParagraph"/>
        <w:ind w:left="360"/>
        <w:jc w:val="both"/>
        <w:rPr>
          <w:rFonts w:ascii="Calibri" w:hAnsi="Calibri" w:cs="Times New Roman"/>
        </w:rPr>
      </w:pPr>
    </w:p>
    <w:p w14:paraId="6A1209AB" w14:textId="6BEDEC98" w:rsidR="009D7C8E" w:rsidRPr="00B208FC" w:rsidRDefault="002A40D2" w:rsidP="003A1FBB">
      <w:pPr>
        <w:pStyle w:val="ListParagraph"/>
        <w:numPr>
          <w:ilvl w:val="0"/>
          <w:numId w:val="19"/>
        </w:numPr>
        <w:ind w:left="360"/>
        <w:jc w:val="both"/>
      </w:pPr>
      <w:r>
        <w:t>How long we store the data we collect:</w:t>
      </w:r>
    </w:p>
    <w:p w14:paraId="1F78E3CD" w14:textId="6A2F9085" w:rsidR="009D7C8E" w:rsidRPr="009D7C8E" w:rsidRDefault="009D7C8E" w:rsidP="003A1FBB">
      <w:pPr>
        <w:pStyle w:val="ListParagraph"/>
        <w:numPr>
          <w:ilvl w:val="0"/>
          <w:numId w:val="22"/>
        </w:numPr>
        <w:ind w:left="360"/>
        <w:jc w:val="both"/>
        <w:rPr>
          <w:rFonts w:ascii="Calibri" w:hAnsi="Calibri" w:cs="Times New Roman"/>
        </w:rPr>
      </w:pPr>
      <w:r>
        <w:t xml:space="preserve">We retain your </w:t>
      </w:r>
      <w:r w:rsidR="003A1FBB">
        <w:t>personal data</w:t>
      </w:r>
      <w:r>
        <w:t xml:space="preserve"> for </w:t>
      </w:r>
      <w:r w:rsidR="003A1FBB">
        <w:t>as long as necessary to perform our contractual obligations to you and/or as required by law</w:t>
      </w:r>
      <w:r>
        <w:t xml:space="preserve">.  After this period, your personal data will be irreversibly destroyed. Any personal data held by us for marketing and service update notifications will be kept by us until such time that you notify us that you no longer wish to receive this information. </w:t>
      </w:r>
    </w:p>
    <w:p w14:paraId="75F2DC31" w14:textId="4538C1F3" w:rsidR="00FB67F5" w:rsidRDefault="00FB67F5" w:rsidP="00385C9C">
      <w:pPr>
        <w:pStyle w:val="Heading1"/>
        <w:jc w:val="both"/>
      </w:pPr>
      <w:bookmarkStart w:id="0" w:name="_Toc495619980"/>
      <w:bookmarkEnd w:id="0"/>
      <w:r>
        <w:t xml:space="preserve">Control </w:t>
      </w:r>
    </w:p>
    <w:p w14:paraId="7B6167FA" w14:textId="77777777" w:rsidR="009D7C8E" w:rsidRDefault="009D7C8E" w:rsidP="009D7C8E">
      <w:pPr>
        <w:jc w:val="both"/>
        <w:rPr>
          <w:rFonts w:ascii="Calibri" w:hAnsi="Calibri" w:cs="Times New Roman"/>
        </w:rPr>
      </w:pPr>
      <w:r>
        <w:t xml:space="preserve">Should you believe that any personal data we hold on you is incorrect or incomplete, you can request to see this information, rectify it or have it deleted. Please contact us through a Data Subject Access Request Form located at </w:t>
      </w:r>
      <w:hyperlink r:id="rId12" w:history="1">
        <w:r>
          <w:rPr>
            <w:rStyle w:val="Hyperlink"/>
          </w:rPr>
          <w:t>www.magnetforensics.com/legal</w:t>
        </w:r>
      </w:hyperlink>
      <w:r>
        <w:t xml:space="preserve"> .</w:t>
      </w:r>
    </w:p>
    <w:p w14:paraId="62DED97B" w14:textId="77777777" w:rsidR="009D7C8E" w:rsidRDefault="009D7C8E" w:rsidP="009D7C8E">
      <w:pPr>
        <w:jc w:val="both"/>
      </w:pPr>
      <w:r>
        <w:t xml:space="preserve">In the event that you wish to complain about how we have handled your personal data, please contact our General Counsel at </w:t>
      </w:r>
      <w:hyperlink r:id="rId13" w:history="1">
        <w:r>
          <w:rPr>
            <w:rStyle w:val="Hyperlink"/>
          </w:rPr>
          <w:t>dpo@magnetforensics.com</w:t>
        </w:r>
      </w:hyperlink>
      <w:r>
        <w:t xml:space="preserve"> or in writing at 156 Columbia Street W., Unit 2, Waterloo, Ontario, Canada.  Our General Counsel will then investigate your complaint and work with you to resolve the matter. </w:t>
      </w:r>
    </w:p>
    <w:p w14:paraId="1AF75DA7" w14:textId="76655D77" w:rsidR="009D7C8E" w:rsidRPr="003F2C41" w:rsidRDefault="009D7C8E" w:rsidP="009D7C8E">
      <w:pPr>
        <w:jc w:val="both"/>
      </w:pPr>
      <w:r>
        <w:t xml:space="preserve">If you still feel that your personal data has not been handled appropriately according to the law, you can contact the Government Data Protection Authority offices for your region and file a complaint with them. </w:t>
      </w:r>
    </w:p>
    <w:p w14:paraId="7B552AB4" w14:textId="68CF416A" w:rsidR="00942DA0" w:rsidRDefault="00FB67F5" w:rsidP="00385C9C">
      <w:pPr>
        <w:pStyle w:val="Heading1"/>
        <w:jc w:val="both"/>
      </w:pPr>
      <w:r>
        <w:t xml:space="preserve">Accountability </w:t>
      </w:r>
    </w:p>
    <w:p w14:paraId="111D4819" w14:textId="77777777" w:rsidR="009D7C8E" w:rsidRDefault="009D7C8E" w:rsidP="009D7C8E">
      <w:pPr>
        <w:jc w:val="both"/>
        <w:rPr>
          <w:shd w:val="clear" w:color="auto" w:fill="FFFFFF"/>
        </w:rPr>
      </w:pPr>
      <w:r w:rsidRPr="005D63FD">
        <w:rPr>
          <w:shd w:val="clear" w:color="auto" w:fill="FFFFFF"/>
        </w:rPr>
        <w:t>The key areas of responsibilities for processing personal data lie with the following organi</w:t>
      </w:r>
      <w:r>
        <w:rPr>
          <w:shd w:val="clear" w:color="auto" w:fill="FFFFFF"/>
        </w:rPr>
        <w:t>z</w:t>
      </w:r>
      <w:r w:rsidRPr="005D63FD">
        <w:rPr>
          <w:shd w:val="clear" w:color="auto" w:fill="FFFFFF"/>
        </w:rPr>
        <w:t>ational roles:</w:t>
      </w:r>
    </w:p>
    <w:p w14:paraId="525CABF0" w14:textId="7B802870" w:rsidR="00F243A5" w:rsidRPr="00B208FC" w:rsidRDefault="009D7C8E" w:rsidP="00B208FC">
      <w:pPr>
        <w:pStyle w:val="ListParagraph"/>
        <w:numPr>
          <w:ilvl w:val="0"/>
          <w:numId w:val="23"/>
        </w:numPr>
        <w:jc w:val="both"/>
        <w:rPr>
          <w:highlight w:val="white"/>
        </w:rPr>
      </w:pPr>
      <w:r>
        <w:rPr>
          <w:shd w:val="clear" w:color="auto" w:fill="FFFFFF"/>
        </w:rPr>
        <w:t xml:space="preserve">The </w:t>
      </w:r>
      <w:r w:rsidRPr="004C1B1F">
        <w:rPr>
          <w:b/>
          <w:shd w:val="clear" w:color="auto" w:fill="FFFFFF"/>
        </w:rPr>
        <w:t>Board of Directors</w:t>
      </w:r>
      <w:r w:rsidRPr="007B342C">
        <w:rPr>
          <w:shd w:val="clear" w:color="auto" w:fill="FFFFFF"/>
        </w:rPr>
        <w:t xml:space="preserve"> </w:t>
      </w:r>
      <w:r>
        <w:rPr>
          <w:shd w:val="clear" w:color="auto" w:fill="FFFFFF"/>
        </w:rPr>
        <w:t>is responsible for:</w:t>
      </w:r>
    </w:p>
    <w:p w14:paraId="29101BE5" w14:textId="77777777" w:rsidR="009D7C8E" w:rsidRPr="007B342C" w:rsidRDefault="009D7C8E" w:rsidP="004E5496">
      <w:pPr>
        <w:pStyle w:val="ListParagraph"/>
        <w:numPr>
          <w:ilvl w:val="0"/>
          <w:numId w:val="22"/>
        </w:numPr>
        <w:jc w:val="both"/>
        <w:rPr>
          <w:highlight w:val="white"/>
        </w:rPr>
      </w:pPr>
      <w:r w:rsidRPr="007B342C">
        <w:rPr>
          <w:shd w:val="clear" w:color="auto" w:fill="FFFFFF"/>
        </w:rPr>
        <w:t>mak</w:t>
      </w:r>
      <w:r>
        <w:rPr>
          <w:shd w:val="clear" w:color="auto" w:fill="FFFFFF"/>
        </w:rPr>
        <w:t>ing</w:t>
      </w:r>
      <w:r w:rsidRPr="007B342C">
        <w:rPr>
          <w:shd w:val="clear" w:color="auto" w:fill="FFFFFF"/>
        </w:rPr>
        <w:t xml:space="preserve"> decisions about,</w:t>
      </w:r>
      <w:r>
        <w:rPr>
          <w:shd w:val="clear" w:color="auto" w:fill="FFFFFF"/>
        </w:rPr>
        <w:t xml:space="preserve"> </w:t>
      </w:r>
      <w:r w:rsidRPr="007B342C">
        <w:rPr>
          <w:shd w:val="clear" w:color="auto" w:fill="FFFFFF"/>
        </w:rPr>
        <w:t>and approv</w:t>
      </w:r>
      <w:r>
        <w:rPr>
          <w:shd w:val="clear" w:color="auto" w:fill="FFFFFF"/>
        </w:rPr>
        <w:t>ing</w:t>
      </w:r>
      <w:r w:rsidRPr="007B342C">
        <w:rPr>
          <w:shd w:val="clear" w:color="auto" w:fill="FFFFFF"/>
        </w:rPr>
        <w:t xml:space="preserve"> </w:t>
      </w:r>
      <w:r>
        <w:rPr>
          <w:shd w:val="clear" w:color="auto" w:fill="FFFFFF"/>
        </w:rPr>
        <w:t>Magnet Forensics</w:t>
      </w:r>
      <w:r w:rsidRPr="007B342C">
        <w:rPr>
          <w:shd w:val="clear" w:color="auto" w:fill="FFFFFF"/>
        </w:rPr>
        <w:t xml:space="preserve"> general strategies on personal data protection.</w:t>
      </w:r>
    </w:p>
    <w:p w14:paraId="687A240D" w14:textId="77777777" w:rsidR="00F243A5" w:rsidRPr="00F243A5" w:rsidRDefault="00F243A5" w:rsidP="00F243A5">
      <w:pPr>
        <w:pStyle w:val="ListParagraph"/>
        <w:ind w:left="1440"/>
        <w:jc w:val="both"/>
        <w:rPr>
          <w:highlight w:val="white"/>
        </w:rPr>
      </w:pPr>
    </w:p>
    <w:p w14:paraId="37D685D7" w14:textId="69C25416" w:rsidR="00F243A5" w:rsidRPr="00B208FC" w:rsidRDefault="009D7C8E" w:rsidP="00B208FC">
      <w:pPr>
        <w:pStyle w:val="ListParagraph"/>
        <w:numPr>
          <w:ilvl w:val="0"/>
          <w:numId w:val="23"/>
        </w:numPr>
        <w:jc w:val="both"/>
        <w:rPr>
          <w:highlight w:val="white"/>
        </w:rPr>
      </w:pPr>
      <w:r w:rsidRPr="007B342C">
        <w:rPr>
          <w:shd w:val="clear" w:color="auto" w:fill="FFFFFF"/>
        </w:rPr>
        <w:t>The</w:t>
      </w:r>
      <w:r w:rsidRPr="007B342C">
        <w:rPr>
          <w:b/>
          <w:bCs/>
          <w:shd w:val="clear" w:color="auto" w:fill="FFFFFF"/>
        </w:rPr>
        <w:t xml:space="preserve"> </w:t>
      </w:r>
      <w:r w:rsidRPr="004C1B1F">
        <w:rPr>
          <w:b/>
          <w:bCs/>
          <w:shd w:val="clear" w:color="auto" w:fill="FFFFFF"/>
        </w:rPr>
        <w:t>General Counsel</w:t>
      </w:r>
      <w:r w:rsidRPr="007B342C">
        <w:rPr>
          <w:b/>
          <w:bCs/>
          <w:shd w:val="clear" w:color="auto" w:fill="FFFFFF"/>
        </w:rPr>
        <w:t xml:space="preserve"> </w:t>
      </w:r>
      <w:r w:rsidRPr="007B342C">
        <w:rPr>
          <w:shd w:val="clear" w:color="auto" w:fill="FFFFFF"/>
        </w:rPr>
        <w:t>is responsible for</w:t>
      </w:r>
      <w:r>
        <w:rPr>
          <w:shd w:val="clear" w:color="auto" w:fill="FFFFFF"/>
        </w:rPr>
        <w:t>:</w:t>
      </w:r>
    </w:p>
    <w:p w14:paraId="41D09A75" w14:textId="30C605BA" w:rsidR="009D7C8E" w:rsidRPr="004E5496" w:rsidRDefault="009D7C8E" w:rsidP="004E5496">
      <w:pPr>
        <w:pStyle w:val="ListParagraph"/>
        <w:numPr>
          <w:ilvl w:val="0"/>
          <w:numId w:val="22"/>
        </w:numPr>
        <w:jc w:val="both"/>
        <w:rPr>
          <w:highlight w:val="white"/>
        </w:rPr>
      </w:pPr>
      <w:r w:rsidRPr="004E5496">
        <w:rPr>
          <w:shd w:val="clear" w:color="auto" w:fill="FFFFFF"/>
        </w:rPr>
        <w:t>managing the personal data protection program and the development and promotion of end-to-end personal data protection policies; and</w:t>
      </w:r>
    </w:p>
    <w:p w14:paraId="401CA973" w14:textId="77777777" w:rsidR="00F243A5" w:rsidRPr="00F243A5" w:rsidRDefault="009D7C8E" w:rsidP="00F243A5">
      <w:pPr>
        <w:pStyle w:val="ListParagraph"/>
        <w:numPr>
          <w:ilvl w:val="0"/>
          <w:numId w:val="22"/>
        </w:numPr>
        <w:jc w:val="both"/>
        <w:rPr>
          <w:highlight w:val="white"/>
        </w:rPr>
      </w:pPr>
      <w:r w:rsidRPr="004E5496">
        <w:rPr>
          <w:shd w:val="clear" w:color="auto" w:fill="FFFFFF"/>
        </w:rPr>
        <w:t>monitoring personal data laws and changes to regulations, developing compliance requirements, and assisting business departments in implementing Magnet Forensics’ Personal Data Privacy Policy.</w:t>
      </w:r>
    </w:p>
    <w:p w14:paraId="00A14628" w14:textId="77777777" w:rsidR="00F243A5" w:rsidRPr="00F243A5" w:rsidRDefault="00F243A5" w:rsidP="00F243A5">
      <w:pPr>
        <w:pStyle w:val="ListParagraph"/>
        <w:jc w:val="both"/>
        <w:rPr>
          <w:highlight w:val="white"/>
        </w:rPr>
      </w:pPr>
    </w:p>
    <w:p w14:paraId="4D783BE9" w14:textId="1D7A7A71" w:rsidR="00F243A5" w:rsidRPr="00B208FC" w:rsidRDefault="009D7C8E" w:rsidP="00B208FC">
      <w:pPr>
        <w:pStyle w:val="ListParagraph"/>
        <w:numPr>
          <w:ilvl w:val="0"/>
          <w:numId w:val="23"/>
        </w:numPr>
        <w:ind w:left="792"/>
        <w:jc w:val="both"/>
        <w:rPr>
          <w:highlight w:val="white"/>
        </w:rPr>
      </w:pPr>
      <w:r w:rsidRPr="00F243A5">
        <w:rPr>
          <w:shd w:val="clear" w:color="auto" w:fill="FFFFFF"/>
        </w:rPr>
        <w:t xml:space="preserve">The </w:t>
      </w:r>
      <w:r w:rsidRPr="00F243A5">
        <w:rPr>
          <w:b/>
          <w:shd w:val="clear" w:color="auto" w:fill="FFFFFF"/>
        </w:rPr>
        <w:t xml:space="preserve">Chief Operations Officer </w:t>
      </w:r>
      <w:r w:rsidRPr="00F243A5">
        <w:rPr>
          <w:shd w:val="clear" w:color="auto" w:fill="FFFFFF"/>
        </w:rPr>
        <w:t>is responsible for:</w:t>
      </w:r>
    </w:p>
    <w:p w14:paraId="5C0A6A4F" w14:textId="40DBDB48" w:rsidR="009D7C8E" w:rsidRPr="004E5496" w:rsidRDefault="009D7C8E" w:rsidP="004E5496">
      <w:pPr>
        <w:pStyle w:val="ListParagraph"/>
        <w:numPr>
          <w:ilvl w:val="0"/>
          <w:numId w:val="24"/>
        </w:numPr>
        <w:jc w:val="both"/>
        <w:rPr>
          <w:highlight w:val="white"/>
        </w:rPr>
      </w:pPr>
      <w:r w:rsidRPr="004E5496">
        <w:rPr>
          <w:shd w:val="clear" w:color="auto" w:fill="FFFFFF"/>
        </w:rPr>
        <w:t>ensuring all systems, services and equipment used for storing data meet acceptable security standards;</w:t>
      </w:r>
    </w:p>
    <w:p w14:paraId="169D36F6" w14:textId="77777777" w:rsidR="009D7C8E" w:rsidRPr="004E5496" w:rsidRDefault="009D7C8E" w:rsidP="00F243A5">
      <w:pPr>
        <w:pStyle w:val="ListParagraph"/>
        <w:numPr>
          <w:ilvl w:val="0"/>
          <w:numId w:val="24"/>
        </w:numPr>
        <w:jc w:val="both"/>
        <w:rPr>
          <w:highlight w:val="white"/>
        </w:rPr>
      </w:pPr>
      <w:r w:rsidRPr="004E5496">
        <w:rPr>
          <w:shd w:val="clear" w:color="auto" w:fill="FFFFFF"/>
        </w:rPr>
        <w:t>performing regular checks and scans to ensure security hardware and software is functioning properly; and</w:t>
      </w:r>
    </w:p>
    <w:p w14:paraId="2852422D" w14:textId="77777777" w:rsidR="009D7C8E" w:rsidRPr="004E5496" w:rsidRDefault="009D7C8E" w:rsidP="00F243A5">
      <w:pPr>
        <w:pStyle w:val="ListParagraph"/>
        <w:numPr>
          <w:ilvl w:val="0"/>
          <w:numId w:val="24"/>
        </w:numPr>
        <w:jc w:val="both"/>
        <w:rPr>
          <w:highlight w:val="white"/>
        </w:rPr>
      </w:pPr>
      <w:r w:rsidRPr="004E5496">
        <w:rPr>
          <w:shd w:val="clear" w:color="auto" w:fill="FFFFFF"/>
        </w:rPr>
        <w:lastRenderedPageBreak/>
        <w:t>passing on personal data protection responsibilities to suppliers and improving suppliers' awareness levels of personal data protection as well as flow down personal data requirements to any third party a supplier uses.</w:t>
      </w:r>
    </w:p>
    <w:p w14:paraId="181EA6CB" w14:textId="77777777" w:rsidR="00F243A5" w:rsidRPr="00F243A5" w:rsidRDefault="00F243A5" w:rsidP="00F243A5">
      <w:pPr>
        <w:pStyle w:val="ListParagraph"/>
        <w:ind w:left="1440"/>
        <w:jc w:val="both"/>
        <w:rPr>
          <w:highlight w:val="white"/>
        </w:rPr>
      </w:pPr>
    </w:p>
    <w:p w14:paraId="30D71314" w14:textId="6E25E081" w:rsidR="00F243A5" w:rsidRPr="00B208FC" w:rsidRDefault="009D7C8E" w:rsidP="00B208FC">
      <w:pPr>
        <w:pStyle w:val="ListParagraph"/>
        <w:numPr>
          <w:ilvl w:val="0"/>
          <w:numId w:val="23"/>
        </w:numPr>
        <w:ind w:left="792"/>
        <w:jc w:val="both"/>
        <w:rPr>
          <w:highlight w:val="white"/>
        </w:rPr>
      </w:pPr>
      <w:r w:rsidRPr="004C1B1F">
        <w:rPr>
          <w:b/>
          <w:shd w:val="clear" w:color="auto" w:fill="FFFFFF"/>
        </w:rPr>
        <w:t>Director of Human Resources</w:t>
      </w:r>
      <w:r w:rsidRPr="00E45204">
        <w:rPr>
          <w:shd w:val="clear" w:color="auto" w:fill="FFFFFF"/>
        </w:rPr>
        <w:t xml:space="preserve"> is responsible </w:t>
      </w:r>
      <w:r>
        <w:rPr>
          <w:shd w:val="clear" w:color="auto" w:fill="FFFFFF"/>
        </w:rPr>
        <w:t>for</w:t>
      </w:r>
      <w:r w:rsidRPr="00E45204">
        <w:rPr>
          <w:shd w:val="clear" w:color="auto" w:fill="FFFFFF"/>
        </w:rPr>
        <w:t>:</w:t>
      </w:r>
    </w:p>
    <w:p w14:paraId="204988B8" w14:textId="6D6D4838" w:rsidR="00F243A5" w:rsidRPr="00F243A5" w:rsidRDefault="009D7C8E" w:rsidP="00F243A5">
      <w:pPr>
        <w:pStyle w:val="ListParagraph"/>
        <w:numPr>
          <w:ilvl w:val="0"/>
          <w:numId w:val="25"/>
        </w:numPr>
        <w:jc w:val="both"/>
        <w:rPr>
          <w:shd w:val="clear" w:color="auto" w:fill="FFFFFF"/>
        </w:rPr>
      </w:pPr>
      <w:r w:rsidRPr="00F243A5">
        <w:rPr>
          <w:shd w:val="clear" w:color="auto" w:fill="FFFFFF"/>
        </w:rPr>
        <w:t>educating and training all employees of Magnet Forensics’ on the requirement and processes of this Policy.</w:t>
      </w:r>
      <w:bookmarkStart w:id="1" w:name="_Toc495620000"/>
      <w:bookmarkEnd w:id="1"/>
      <w:r w:rsidR="00F243A5" w:rsidRPr="00F243A5">
        <w:rPr>
          <w:shd w:val="clear" w:color="auto" w:fill="FFFFFF"/>
        </w:rPr>
        <w:t xml:space="preserve">  Any employee who violates this Policy will be subject to disciplinary action</w:t>
      </w:r>
      <w:r w:rsidR="00F243A5">
        <w:rPr>
          <w:shd w:val="clear" w:color="auto" w:fill="FFFFFF"/>
        </w:rPr>
        <w:t>.</w:t>
      </w:r>
      <w:r w:rsidR="00F243A5" w:rsidRPr="00F243A5">
        <w:rPr>
          <w:shd w:val="clear" w:color="auto" w:fill="FFFFFF"/>
        </w:rPr>
        <w:t xml:space="preserve"> </w:t>
      </w:r>
    </w:p>
    <w:p w14:paraId="5E5DBD38" w14:textId="62B58383" w:rsidR="00F243A5" w:rsidRDefault="00B208FC" w:rsidP="00385C9C">
      <w:pPr>
        <w:pStyle w:val="Heading1"/>
        <w:jc w:val="both"/>
      </w:pPr>
      <w:r>
        <w:t xml:space="preserve">Data </w:t>
      </w:r>
      <w:r w:rsidR="00F243A5">
        <w:t xml:space="preserve">Breach </w:t>
      </w:r>
      <w:r>
        <w:t>Practices</w:t>
      </w:r>
    </w:p>
    <w:p w14:paraId="0A9669CD" w14:textId="184518D8" w:rsidR="00F243A5" w:rsidRPr="00F243A5" w:rsidRDefault="00F243A5" w:rsidP="00F243A5">
      <w:pPr>
        <w:jc w:val="both"/>
      </w:pPr>
      <w:r w:rsidRPr="005D63FD">
        <w:t xml:space="preserve">When </w:t>
      </w:r>
      <w:r>
        <w:t>Magnet Forensics</w:t>
      </w:r>
      <w:r w:rsidRPr="005D63FD">
        <w:t xml:space="preserve"> learns of a suspected or actual personal data breach,</w:t>
      </w:r>
      <w:r>
        <w:t xml:space="preserve"> the General Counsel </w:t>
      </w:r>
      <w:r w:rsidRPr="005D63FD">
        <w:t>perform</w:t>
      </w:r>
      <w:r>
        <w:t>s</w:t>
      </w:r>
      <w:r w:rsidRPr="005D63FD">
        <w:t xml:space="preserve"> an internal investigation and take</w:t>
      </w:r>
      <w:r>
        <w:t>s</w:t>
      </w:r>
      <w:r w:rsidRPr="005D63FD">
        <w:t xml:space="preserve"> appropriate remedial measures in a timely manner, according to </w:t>
      </w:r>
      <w:r w:rsidR="00B208FC">
        <w:t>Magnet Forensics</w:t>
      </w:r>
      <w:r w:rsidRPr="005D63FD">
        <w:t xml:space="preserve"> Data Breach </w:t>
      </w:r>
      <w:r w:rsidR="00B208FC">
        <w:t>practices</w:t>
      </w:r>
      <w:r w:rsidRPr="005D63FD">
        <w:t xml:space="preserve">. Where there is any risk to the rights and freedoms of </w:t>
      </w:r>
      <w:r w:rsidR="00B208FC">
        <w:t>D</w:t>
      </w:r>
      <w:r w:rsidRPr="005D63FD">
        <w:t xml:space="preserve">ata </w:t>
      </w:r>
      <w:r w:rsidR="00B208FC">
        <w:t>S</w:t>
      </w:r>
      <w:r w:rsidRPr="005D63FD">
        <w:t xml:space="preserve">ubjects, </w:t>
      </w:r>
      <w:r w:rsidR="00B208FC">
        <w:t>Magnet Forensics shall</w:t>
      </w:r>
      <w:r w:rsidRPr="005D63FD">
        <w:t xml:space="preserve"> notify the relevant data protection authorities without undue delay and, when possible, within 72 hours. </w:t>
      </w:r>
    </w:p>
    <w:p w14:paraId="730CFD8E" w14:textId="3FEF6761" w:rsidR="00506B8C" w:rsidRDefault="003F2C41" w:rsidP="00385C9C">
      <w:pPr>
        <w:pStyle w:val="Heading1"/>
        <w:jc w:val="both"/>
      </w:pPr>
      <w:r>
        <w:t xml:space="preserve">Using Magnet Forensics’ Products to View/Modify Personal Data </w:t>
      </w:r>
    </w:p>
    <w:p w14:paraId="6628862B" w14:textId="37A13CD3" w:rsidR="003F2C41" w:rsidRPr="004E5496" w:rsidRDefault="00B016BC" w:rsidP="00385C9C">
      <w:pPr>
        <w:jc w:val="both"/>
        <w:rPr>
          <w:rFonts w:eastAsia="Times New Roman"/>
          <w:color w:val="000000"/>
          <w:lang w:val="en-US"/>
        </w:rPr>
      </w:pPr>
      <w:r>
        <w:t>A</w:t>
      </w:r>
      <w:r w:rsidR="004E5496">
        <w:t xml:space="preserve">n end user of Magnet Forensics products may use the products </w:t>
      </w:r>
      <w:r w:rsidR="004E5496">
        <w:rPr>
          <w:rFonts w:eastAsia="Times New Roman"/>
          <w:color w:val="000000"/>
        </w:rPr>
        <w:t>to access certain cloud service applications (i.e. Google, Facebook,</w:t>
      </w:r>
      <w:r w:rsidR="00B73974">
        <w:rPr>
          <w:rFonts w:eastAsia="Times New Roman"/>
          <w:color w:val="000000"/>
        </w:rPr>
        <w:t xml:space="preserve"> Instagram,</w:t>
      </w:r>
      <w:r w:rsidR="004E5496">
        <w:rPr>
          <w:rFonts w:eastAsia="Times New Roman"/>
          <w:color w:val="000000"/>
        </w:rPr>
        <w:t xml:space="preserve"> Twitter, Dropbox, Microsoft 365, etc. – collectively referred to as “Cloud Apps”)  and make certain actions, view, and/or modify personal data of individuals (“Data Subjects”) in the</w:t>
      </w:r>
      <w:r w:rsidR="00BC5F47">
        <w:rPr>
          <w:rFonts w:eastAsia="Times New Roman"/>
          <w:color w:val="000000"/>
        </w:rPr>
        <w:t>ir</w:t>
      </w:r>
      <w:r w:rsidR="004E5496">
        <w:rPr>
          <w:rFonts w:eastAsia="Times New Roman"/>
          <w:color w:val="000000"/>
        </w:rPr>
        <w:t xml:space="preserve"> Cloud Apps.  </w:t>
      </w:r>
      <w:r w:rsidR="004E5496">
        <w:t>If an end user of Magnet Forensics products uses the products to interact with or collect personal data from Data Subjects, the end user is solely responsible for ensuring compliance with all applicable laws in connection with the collection and/or processing of personal data of the Data Subjects (inclu</w:t>
      </w:r>
      <w:bookmarkStart w:id="2" w:name="_GoBack"/>
      <w:bookmarkEnd w:id="2"/>
      <w:r w:rsidR="004E5496">
        <w:t xml:space="preserve">ding compliance with the personal data privacy policies of the Cloud Apps). If you are a Data Subject, please note that Magnet Forensics has no relationship with you whatsoever and its only relation is with the end user with whom you may interact. For any questions regarding the collection of your personal data or to amend your personal data, and for all other reasons, you must contact the end user.  </w:t>
      </w:r>
    </w:p>
    <w:p w14:paraId="2F2C6608" w14:textId="58AA1881" w:rsidR="00CA4ED7" w:rsidRPr="00CA4ED7" w:rsidRDefault="00CA4ED7" w:rsidP="00385C9C">
      <w:pPr>
        <w:pStyle w:val="Heading1"/>
        <w:jc w:val="both"/>
      </w:pPr>
      <w:bookmarkStart w:id="3" w:name="_Toc495619999"/>
      <w:bookmarkEnd w:id="3"/>
      <w:r w:rsidRPr="00CA4ED7">
        <w:t>Changes</w:t>
      </w:r>
      <w:r w:rsidR="005A392F">
        <w:t xml:space="preserve"> to the Personal Data Protection Policy</w:t>
      </w:r>
      <w:r w:rsidRPr="00CA4ED7">
        <w:t xml:space="preserve"> </w:t>
      </w:r>
    </w:p>
    <w:p w14:paraId="66901A0F" w14:textId="598A7994" w:rsidR="004E5496" w:rsidRPr="00CA4ED7" w:rsidRDefault="00CA4ED7" w:rsidP="00385C9C">
      <w:pPr>
        <w:jc w:val="both"/>
      </w:pPr>
      <w:r w:rsidRPr="00CA4ED7">
        <w:t xml:space="preserve">If we modify </w:t>
      </w:r>
      <w:r w:rsidR="00102127">
        <w:t>this</w:t>
      </w:r>
      <w:r w:rsidRPr="00CA4ED7">
        <w:t xml:space="preserve"> P</w:t>
      </w:r>
      <w:r w:rsidR="00E32F3C">
        <w:t>ersonal Data Protection Policy</w:t>
      </w:r>
      <w:r w:rsidRPr="00CA4ED7">
        <w:t xml:space="preserve">, we will post the revised </w:t>
      </w:r>
      <w:r w:rsidR="00102127">
        <w:t>version</w:t>
      </w:r>
      <w:r w:rsidRPr="00CA4ED7">
        <w:t xml:space="preserve"> here, with an updated revision date. We encourage you to review the </w:t>
      </w:r>
      <w:r w:rsidR="00E32F3C" w:rsidRPr="00CA4ED7">
        <w:t>P</w:t>
      </w:r>
      <w:r w:rsidR="00E32F3C">
        <w:t>ersonal Data Protection Policy</w:t>
      </w:r>
      <w:r w:rsidR="00E32F3C" w:rsidRPr="00CA4ED7">
        <w:t xml:space="preserve"> </w:t>
      </w:r>
      <w:r w:rsidRPr="00CA4ED7">
        <w:t xml:space="preserve">regularly. If we make significant changes to </w:t>
      </w:r>
      <w:r w:rsidR="00102127">
        <w:t>this</w:t>
      </w:r>
      <w:r w:rsidRPr="00CA4ED7">
        <w:t xml:space="preserve"> </w:t>
      </w:r>
      <w:r w:rsidR="00E32F3C" w:rsidRPr="00CA4ED7">
        <w:t>P</w:t>
      </w:r>
      <w:r w:rsidR="00E32F3C">
        <w:t>ersonal Data Protection Policy</w:t>
      </w:r>
      <w:r w:rsidR="00E32F3C" w:rsidRPr="00CA4ED7">
        <w:t xml:space="preserve"> </w:t>
      </w:r>
      <w:r w:rsidRPr="00CA4ED7">
        <w:t>that materially alter our privacy practices, we may also notify you by other means, such as sending an email or posting a notice on our</w:t>
      </w:r>
      <w:r w:rsidR="00102127">
        <w:t xml:space="preserve"> </w:t>
      </w:r>
      <w:r w:rsidRPr="00CA4ED7">
        <w:t>website and/or social media pages prior to the changes taking effect.</w:t>
      </w:r>
    </w:p>
    <w:tbl>
      <w:tblPr>
        <w:tblStyle w:val="TableGrid"/>
        <w:tblW w:w="9085" w:type="dxa"/>
        <w:tblLook w:val="04A0" w:firstRow="1" w:lastRow="0" w:firstColumn="1" w:lastColumn="0" w:noHBand="0" w:noVBand="1"/>
      </w:tblPr>
      <w:tblGrid>
        <w:gridCol w:w="3020"/>
        <w:gridCol w:w="6065"/>
      </w:tblGrid>
      <w:tr w:rsidR="005813FC" w14:paraId="75DCF6C9" w14:textId="77777777" w:rsidTr="005813FC">
        <w:tc>
          <w:tcPr>
            <w:tcW w:w="3020" w:type="dxa"/>
          </w:tcPr>
          <w:p w14:paraId="6E45CBD2" w14:textId="2499FC4D" w:rsidR="005813FC" w:rsidRPr="005813FC" w:rsidRDefault="005813FC" w:rsidP="005813FC">
            <w:pPr>
              <w:jc w:val="center"/>
              <w:rPr>
                <w:b/>
              </w:rPr>
            </w:pPr>
            <w:r w:rsidRPr="005813FC">
              <w:rPr>
                <w:b/>
              </w:rPr>
              <w:t>Date</w:t>
            </w:r>
          </w:p>
        </w:tc>
        <w:tc>
          <w:tcPr>
            <w:tcW w:w="6065" w:type="dxa"/>
          </w:tcPr>
          <w:p w14:paraId="06A9201E" w14:textId="1BF912C3" w:rsidR="005813FC" w:rsidRPr="005813FC" w:rsidRDefault="005813FC" w:rsidP="005813FC">
            <w:pPr>
              <w:jc w:val="center"/>
              <w:rPr>
                <w:b/>
              </w:rPr>
            </w:pPr>
            <w:r w:rsidRPr="005813FC">
              <w:rPr>
                <w:b/>
              </w:rPr>
              <w:t>Description of Changes</w:t>
            </w:r>
          </w:p>
        </w:tc>
      </w:tr>
      <w:tr w:rsidR="005813FC" w14:paraId="41485028" w14:textId="77777777" w:rsidTr="005813FC">
        <w:tc>
          <w:tcPr>
            <w:tcW w:w="3020" w:type="dxa"/>
          </w:tcPr>
          <w:p w14:paraId="38F46BB0" w14:textId="17AE0FB3" w:rsidR="005813FC" w:rsidRDefault="005813FC" w:rsidP="005813FC">
            <w:pPr>
              <w:jc w:val="both"/>
            </w:pPr>
            <w:r>
              <w:t>Version 2.0    June 01, 2019</w:t>
            </w:r>
          </w:p>
        </w:tc>
        <w:tc>
          <w:tcPr>
            <w:tcW w:w="6065" w:type="dxa"/>
          </w:tcPr>
          <w:p w14:paraId="13D423B8" w14:textId="29E0E707" w:rsidR="005813FC" w:rsidRDefault="005813FC" w:rsidP="005813FC">
            <w:pPr>
              <w:jc w:val="both"/>
            </w:pPr>
            <w:r>
              <w:t>Merge Privacy Statement and Privacy Policy into single document; add</w:t>
            </w:r>
            <w:r w:rsidR="00B208FC">
              <w:t>ed</w:t>
            </w:r>
            <w:r>
              <w:t xml:space="preserve"> text to address use of Magnet Forensics’ products to access personal data</w:t>
            </w:r>
            <w:r w:rsidR="00531C38">
              <w:t xml:space="preserve"> in certain cloud service applications</w:t>
            </w:r>
            <w:r>
              <w:t xml:space="preserve">.  </w:t>
            </w:r>
          </w:p>
        </w:tc>
      </w:tr>
    </w:tbl>
    <w:p w14:paraId="57A68551" w14:textId="4FE79F2D" w:rsidR="00102127" w:rsidRPr="00102127" w:rsidRDefault="00102127" w:rsidP="00601597">
      <w:pPr>
        <w:tabs>
          <w:tab w:val="left" w:pos="5235"/>
        </w:tabs>
        <w:jc w:val="center"/>
      </w:pPr>
    </w:p>
    <w:sectPr w:rsidR="00102127" w:rsidRPr="00102127" w:rsidSect="00F228C2">
      <w:headerReference w:type="default" r:id="rId14"/>
      <w:footerReference w:type="default" r:id="rId15"/>
      <w:headerReference w:type="first" r:id="rId16"/>
      <w:footerReference w:type="first" r:id="rId17"/>
      <w:pgSz w:w="11906" w:h="16838"/>
      <w:pgMar w:top="1418" w:right="1418" w:bottom="1418" w:left="1418" w:header="709"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ADC28" w14:textId="77777777" w:rsidR="00F353BA" w:rsidRDefault="00F353BA">
      <w:pPr>
        <w:spacing w:after="0" w:line="240" w:lineRule="auto"/>
      </w:pPr>
      <w:r>
        <w:separator/>
      </w:r>
    </w:p>
  </w:endnote>
  <w:endnote w:type="continuationSeparator" w:id="0">
    <w:p w14:paraId="3A97473F" w14:textId="77777777" w:rsidR="00F353BA" w:rsidRDefault="00F3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Borders>
        <w:top w:val="single" w:sz="4" w:space="0" w:color="auto"/>
      </w:tblBorders>
      <w:tblLook w:val="04A0" w:firstRow="1" w:lastRow="0" w:firstColumn="1" w:lastColumn="0" w:noHBand="0" w:noVBand="1"/>
    </w:tblPr>
    <w:tblGrid>
      <w:gridCol w:w="3652"/>
      <w:gridCol w:w="2302"/>
      <w:gridCol w:w="3260"/>
    </w:tblGrid>
    <w:tr w:rsidR="00DC115B" w:rsidRPr="00300E3B" w14:paraId="4A920142" w14:textId="77777777" w:rsidTr="00300E3B">
      <w:tc>
        <w:tcPr>
          <w:tcW w:w="3652" w:type="dxa"/>
          <w:shd w:val="clear" w:color="auto" w:fill="auto"/>
        </w:tcPr>
        <w:p w14:paraId="52305FCE" w14:textId="18CCB3EC" w:rsidR="00DC115B" w:rsidRPr="00300E3B" w:rsidRDefault="00DC115B">
          <w:pPr>
            <w:pStyle w:val="Footer"/>
            <w:rPr>
              <w:sz w:val="18"/>
              <w:szCs w:val="18"/>
            </w:rPr>
          </w:pPr>
          <w:r w:rsidRPr="00300E3B">
            <w:rPr>
              <w:sz w:val="18"/>
              <w:szCs w:val="18"/>
            </w:rPr>
            <w:t xml:space="preserve">Personal Data Protection Policy </w:t>
          </w:r>
        </w:p>
      </w:tc>
      <w:tc>
        <w:tcPr>
          <w:tcW w:w="2302" w:type="dxa"/>
          <w:shd w:val="clear" w:color="auto" w:fill="auto"/>
        </w:tcPr>
        <w:p w14:paraId="24D844E5" w14:textId="0C81EE4E" w:rsidR="00DC115B" w:rsidRPr="00300E3B" w:rsidRDefault="00DC115B">
          <w:pPr>
            <w:pStyle w:val="Footer"/>
            <w:rPr>
              <w:sz w:val="18"/>
              <w:szCs w:val="18"/>
            </w:rPr>
          </w:pPr>
          <w:proofErr w:type="spellStart"/>
          <w:r w:rsidRPr="00300E3B">
            <w:rPr>
              <w:sz w:val="18"/>
              <w:szCs w:val="18"/>
            </w:rPr>
            <w:t>ver</w:t>
          </w:r>
          <w:proofErr w:type="spellEnd"/>
          <w:r w:rsidRPr="00300E3B">
            <w:rPr>
              <w:sz w:val="18"/>
              <w:szCs w:val="18"/>
            </w:rPr>
            <w:t xml:space="preserve"> </w:t>
          </w:r>
          <w:proofErr w:type="gramStart"/>
          <w:r w:rsidR="00102127">
            <w:rPr>
              <w:sz w:val="18"/>
              <w:szCs w:val="18"/>
            </w:rPr>
            <w:t>2.0</w:t>
          </w:r>
          <w:r w:rsidRPr="00300E3B">
            <w:rPr>
              <w:sz w:val="18"/>
              <w:szCs w:val="18"/>
            </w:rPr>
            <w:t xml:space="preserve"> </w:t>
          </w:r>
          <w:r w:rsidR="00FC797E">
            <w:rPr>
              <w:sz w:val="18"/>
              <w:szCs w:val="18"/>
            </w:rPr>
            <w:t xml:space="preserve"> </w:t>
          </w:r>
          <w:r w:rsidR="009D7C8E">
            <w:rPr>
              <w:sz w:val="18"/>
              <w:szCs w:val="18"/>
            </w:rPr>
            <w:t>June</w:t>
          </w:r>
          <w:proofErr w:type="gramEnd"/>
          <w:r w:rsidR="00FC797E">
            <w:rPr>
              <w:sz w:val="18"/>
              <w:szCs w:val="18"/>
            </w:rPr>
            <w:t xml:space="preserve"> </w:t>
          </w:r>
          <w:r w:rsidR="009D7C8E">
            <w:rPr>
              <w:sz w:val="18"/>
              <w:szCs w:val="18"/>
            </w:rPr>
            <w:t>01</w:t>
          </w:r>
          <w:r w:rsidR="00FC797E">
            <w:rPr>
              <w:sz w:val="18"/>
              <w:szCs w:val="18"/>
            </w:rPr>
            <w:t>, 201</w:t>
          </w:r>
          <w:r w:rsidR="00102127">
            <w:rPr>
              <w:sz w:val="18"/>
              <w:szCs w:val="18"/>
            </w:rPr>
            <w:t>9</w:t>
          </w:r>
        </w:p>
      </w:tc>
      <w:tc>
        <w:tcPr>
          <w:tcW w:w="3260" w:type="dxa"/>
          <w:shd w:val="clear" w:color="auto" w:fill="auto"/>
        </w:tcPr>
        <w:p w14:paraId="17D7BD9D" w14:textId="5088FB71" w:rsidR="00DC115B" w:rsidRPr="00300E3B" w:rsidRDefault="00DC115B">
          <w:pPr>
            <w:pStyle w:val="Footer"/>
            <w:jc w:val="right"/>
            <w:rPr>
              <w:sz w:val="18"/>
              <w:szCs w:val="18"/>
            </w:rPr>
          </w:pPr>
          <w:r w:rsidRPr="00300E3B">
            <w:rPr>
              <w:sz w:val="18"/>
              <w:szCs w:val="18"/>
            </w:rPr>
            <w:t xml:space="preserve">Page </w:t>
          </w:r>
          <w:r w:rsidRPr="00300E3B">
            <w:rPr>
              <w:sz w:val="18"/>
              <w:szCs w:val="18"/>
            </w:rPr>
            <w:fldChar w:fldCharType="begin"/>
          </w:r>
          <w:r w:rsidRPr="00300E3B">
            <w:rPr>
              <w:sz w:val="18"/>
              <w:szCs w:val="18"/>
            </w:rPr>
            <w:instrText>PAGE</w:instrText>
          </w:r>
          <w:r w:rsidRPr="00300E3B">
            <w:rPr>
              <w:sz w:val="18"/>
              <w:szCs w:val="18"/>
            </w:rPr>
            <w:fldChar w:fldCharType="separate"/>
          </w:r>
          <w:r w:rsidR="008D0A57">
            <w:rPr>
              <w:noProof/>
              <w:sz w:val="18"/>
              <w:szCs w:val="18"/>
            </w:rPr>
            <w:t>14</w:t>
          </w:r>
          <w:r w:rsidRPr="00300E3B">
            <w:rPr>
              <w:sz w:val="18"/>
              <w:szCs w:val="18"/>
            </w:rPr>
            <w:fldChar w:fldCharType="end"/>
          </w:r>
          <w:r w:rsidRPr="00300E3B">
            <w:rPr>
              <w:sz w:val="18"/>
              <w:szCs w:val="18"/>
            </w:rPr>
            <w:t xml:space="preserve"> of </w:t>
          </w:r>
          <w:r w:rsidRPr="00300E3B">
            <w:rPr>
              <w:sz w:val="18"/>
              <w:szCs w:val="18"/>
            </w:rPr>
            <w:fldChar w:fldCharType="begin"/>
          </w:r>
          <w:r w:rsidRPr="00300E3B">
            <w:rPr>
              <w:sz w:val="18"/>
              <w:szCs w:val="18"/>
            </w:rPr>
            <w:instrText>NUMPAGES</w:instrText>
          </w:r>
          <w:r w:rsidRPr="00300E3B">
            <w:rPr>
              <w:sz w:val="18"/>
              <w:szCs w:val="18"/>
            </w:rPr>
            <w:fldChar w:fldCharType="separate"/>
          </w:r>
          <w:r w:rsidR="008D0A57">
            <w:rPr>
              <w:noProof/>
              <w:sz w:val="18"/>
              <w:szCs w:val="18"/>
            </w:rPr>
            <w:t>14</w:t>
          </w:r>
          <w:r w:rsidRPr="00300E3B">
            <w:rPr>
              <w:sz w:val="18"/>
              <w:szCs w:val="18"/>
            </w:rPr>
            <w:fldChar w:fldCharType="end"/>
          </w:r>
        </w:p>
      </w:tc>
    </w:tr>
  </w:tbl>
  <w:p w14:paraId="5E4716EB" w14:textId="4207A6D6" w:rsidR="00DC115B" w:rsidRPr="00BE01E6" w:rsidRDefault="00DC115B">
    <w:pPr>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F4E7F" w14:textId="681A9A1B" w:rsidR="00DC115B" w:rsidRPr="00BE01E6" w:rsidRDefault="00DC115B" w:rsidP="005C3F54">
    <w:pPr>
      <w:rPr>
        <w:sz w:val="16"/>
      </w:rPr>
    </w:pPr>
  </w:p>
  <w:p w14:paraId="17A32998" w14:textId="77777777" w:rsidR="00DC115B" w:rsidRDefault="00DC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A3AA0" w14:textId="77777777" w:rsidR="00F353BA" w:rsidRDefault="00F353BA">
      <w:pPr>
        <w:spacing w:after="0" w:line="240" w:lineRule="auto"/>
      </w:pPr>
      <w:r>
        <w:separator/>
      </w:r>
    </w:p>
  </w:footnote>
  <w:footnote w:type="continuationSeparator" w:id="0">
    <w:p w14:paraId="5F4F6AFC" w14:textId="77777777" w:rsidR="00F353BA" w:rsidRDefault="00F353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auto"/>
      </w:tblBorders>
      <w:tblLook w:val="04A0" w:firstRow="1" w:lastRow="0" w:firstColumn="1" w:lastColumn="0" w:noHBand="0" w:noVBand="1"/>
    </w:tblPr>
    <w:tblGrid>
      <w:gridCol w:w="6588"/>
      <w:gridCol w:w="2484"/>
    </w:tblGrid>
    <w:tr w:rsidR="00DC115B" w:rsidRPr="00F228C2" w14:paraId="13B9C0AF" w14:textId="77777777" w:rsidTr="00300E3B">
      <w:tc>
        <w:tcPr>
          <w:tcW w:w="6587" w:type="dxa"/>
          <w:shd w:val="clear" w:color="auto" w:fill="auto"/>
        </w:tcPr>
        <w:p w14:paraId="43BB59EE" w14:textId="15D19AA0" w:rsidR="00DC115B" w:rsidRPr="00F228C2" w:rsidRDefault="00A16A9D" w:rsidP="00A16A9D">
          <w:pPr>
            <w:pStyle w:val="Header"/>
            <w:spacing w:after="0"/>
            <w:rPr>
              <w:sz w:val="20"/>
              <w:szCs w:val="18"/>
            </w:rPr>
          </w:pPr>
          <w:r>
            <w:rPr>
              <w:sz w:val="20"/>
              <w:szCs w:val="18"/>
            </w:rPr>
            <w:fldChar w:fldCharType="begin"/>
          </w:r>
          <w:r>
            <w:rPr>
              <w:sz w:val="20"/>
              <w:szCs w:val="18"/>
            </w:rPr>
            <w:instrText xml:space="preserve"> DOCPROPERTY  Organization_name  \* MERGEFORMAT </w:instrText>
          </w:r>
          <w:r>
            <w:rPr>
              <w:sz w:val="20"/>
              <w:szCs w:val="18"/>
            </w:rPr>
            <w:fldChar w:fldCharType="separate"/>
          </w:r>
          <w:r>
            <w:rPr>
              <w:sz w:val="20"/>
              <w:szCs w:val="18"/>
            </w:rPr>
            <w:t>Magnet Forensics Inc.</w:t>
          </w:r>
          <w:r>
            <w:rPr>
              <w:sz w:val="20"/>
              <w:szCs w:val="18"/>
            </w:rPr>
            <w:fldChar w:fldCharType="end"/>
          </w:r>
        </w:p>
      </w:tc>
      <w:tc>
        <w:tcPr>
          <w:tcW w:w="2484" w:type="dxa"/>
          <w:shd w:val="clear" w:color="auto" w:fill="auto"/>
        </w:tcPr>
        <w:p w14:paraId="0575D003" w14:textId="436EA600" w:rsidR="00DC115B" w:rsidRPr="00F228C2" w:rsidRDefault="00DC115B" w:rsidP="00C75F4A">
          <w:pPr>
            <w:pStyle w:val="Header"/>
            <w:spacing w:after="0"/>
            <w:jc w:val="center"/>
            <w:rPr>
              <w:sz w:val="20"/>
              <w:szCs w:val="18"/>
            </w:rPr>
          </w:pPr>
        </w:p>
      </w:tc>
    </w:tr>
  </w:tbl>
  <w:p w14:paraId="5821B8E3" w14:textId="77777777" w:rsidR="00DC115B" w:rsidRDefault="00DC11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A6B0" w14:textId="5651D34B" w:rsidR="0084319C" w:rsidRDefault="0084319C">
    <w:pPr>
      <w:pStyle w:val="Header"/>
    </w:pPr>
    <w:r w:rsidRPr="00BB4E3D">
      <w:rPr>
        <w:noProof/>
        <w:lang w:val="en-US"/>
      </w:rPr>
      <w:drawing>
        <wp:anchor distT="0" distB="0" distL="114300" distR="114300" simplePos="0" relativeHeight="251658752" behindDoc="1" locked="0" layoutInCell="1" allowOverlap="1" wp14:anchorId="498C50DC" wp14:editId="3BE15D56">
          <wp:simplePos x="0" y="0"/>
          <wp:positionH relativeFrom="column">
            <wp:posOffset>-441960</wp:posOffset>
          </wp:positionH>
          <wp:positionV relativeFrom="paragraph">
            <wp:posOffset>-100965</wp:posOffset>
          </wp:positionV>
          <wp:extent cx="2084705" cy="69233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4705" cy="692337"/>
                  </a:xfrm>
                  <a:prstGeom prst="rect">
                    <a:avLst/>
                  </a:prstGeom>
                  <a:noFill/>
                </pic:spPr>
              </pic:pic>
            </a:graphicData>
          </a:graphic>
          <wp14:sizeRelH relativeFrom="page">
            <wp14:pctWidth>0</wp14:pctWidth>
          </wp14:sizeRelH>
          <wp14:sizeRelV relativeFrom="page">
            <wp14:pctHeight>0</wp14:pctHeight>
          </wp14:sizeRelV>
        </wp:anchor>
      </w:drawing>
    </w:r>
  </w:p>
  <w:p w14:paraId="36605859" w14:textId="17743B1F" w:rsidR="0084319C" w:rsidRPr="0084319C" w:rsidRDefault="0084319C">
    <w:pPr>
      <w:pStyle w:val="Header"/>
      <w:rPr>
        <w:b/>
        <w:sz w:val="28"/>
        <w:szCs w:val="28"/>
      </w:rPr>
    </w:pPr>
    <w:r>
      <w:tab/>
    </w:r>
    <w:r>
      <w:tab/>
    </w:r>
    <w:r w:rsidRPr="0084319C">
      <w:rPr>
        <w:b/>
        <w:sz w:val="28"/>
        <w:szCs w:val="28"/>
      </w:rPr>
      <w:t>PERSONAL DATA PROTECTION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7AF8"/>
    <w:multiLevelType w:val="multilevel"/>
    <w:tmpl w:val="8FFC3ED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B35308"/>
    <w:multiLevelType w:val="hybridMultilevel"/>
    <w:tmpl w:val="4378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B750C"/>
    <w:multiLevelType w:val="hybridMultilevel"/>
    <w:tmpl w:val="24F4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757F"/>
    <w:multiLevelType w:val="hybridMultilevel"/>
    <w:tmpl w:val="2524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C73ED"/>
    <w:multiLevelType w:val="hybridMultilevel"/>
    <w:tmpl w:val="360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6342"/>
    <w:multiLevelType w:val="hybridMultilevel"/>
    <w:tmpl w:val="2CB0B0EC"/>
    <w:lvl w:ilvl="0" w:tplc="B5B090F6">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3813875"/>
    <w:multiLevelType w:val="hybridMultilevel"/>
    <w:tmpl w:val="50ECC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230FB8"/>
    <w:multiLevelType w:val="multilevel"/>
    <w:tmpl w:val="65BEC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88649C2"/>
    <w:multiLevelType w:val="multilevel"/>
    <w:tmpl w:val="B846D9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F47D5A"/>
    <w:multiLevelType w:val="hybridMultilevel"/>
    <w:tmpl w:val="98B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30975"/>
    <w:multiLevelType w:val="multilevel"/>
    <w:tmpl w:val="F88EED4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38DF7A94"/>
    <w:multiLevelType w:val="multilevel"/>
    <w:tmpl w:val="CB8C6116"/>
    <w:lvl w:ilvl="0">
      <w:start w:val="1"/>
      <w:numFmt w:val="decimal"/>
      <w:pStyle w:val="Heading1"/>
      <w:lvlText w:val="%1."/>
      <w:lvlJc w:val="left"/>
      <w:pPr>
        <w:ind w:left="360" w:hanging="360"/>
      </w:pPr>
    </w:lvl>
    <w:lvl w:ilvl="1">
      <w:start w:val="1"/>
      <w:numFmt w:val="decimal"/>
      <w:pStyle w:val="Heading2"/>
      <w:lvlText w:val="%1.%2."/>
      <w:lvlJc w:val="left"/>
      <w:pPr>
        <w:ind w:left="360" w:hanging="360"/>
      </w:pPr>
      <w:rPr>
        <w:b/>
      </w:rPr>
    </w:lvl>
    <w:lvl w:ilvl="2">
      <w:start w:val="1"/>
      <w:numFmt w:val="decimal"/>
      <w:pStyle w:val="Heading3"/>
      <w:lvlText w:val="%1.%2.%3."/>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94663CB"/>
    <w:multiLevelType w:val="hybridMultilevel"/>
    <w:tmpl w:val="AD309F7C"/>
    <w:lvl w:ilvl="0" w:tplc="B5B090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B461B26"/>
    <w:multiLevelType w:val="hybridMultilevel"/>
    <w:tmpl w:val="8AD6AC10"/>
    <w:lvl w:ilvl="0" w:tplc="B5B090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B5DA6"/>
    <w:multiLevelType w:val="hybridMultilevel"/>
    <w:tmpl w:val="95A0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E37C3"/>
    <w:multiLevelType w:val="hybridMultilevel"/>
    <w:tmpl w:val="C2A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C6E76"/>
    <w:multiLevelType w:val="multilevel"/>
    <w:tmpl w:val="D4DA44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5E2927A3"/>
    <w:multiLevelType w:val="multilevel"/>
    <w:tmpl w:val="A76A20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0B41BAE"/>
    <w:multiLevelType w:val="hybridMultilevel"/>
    <w:tmpl w:val="336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6649F"/>
    <w:multiLevelType w:val="hybridMultilevel"/>
    <w:tmpl w:val="010202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6B156410"/>
    <w:multiLevelType w:val="hybridMultilevel"/>
    <w:tmpl w:val="0F90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174912"/>
    <w:multiLevelType w:val="hybridMultilevel"/>
    <w:tmpl w:val="1304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333EA"/>
    <w:multiLevelType w:val="multilevel"/>
    <w:tmpl w:val="9E5CB69A"/>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79A32C37"/>
    <w:multiLevelType w:val="multilevel"/>
    <w:tmpl w:val="C6DEC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F954212"/>
    <w:multiLevelType w:val="hybridMultilevel"/>
    <w:tmpl w:val="EE16516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1"/>
  </w:num>
  <w:num w:numId="2">
    <w:abstractNumId w:val="22"/>
  </w:num>
  <w:num w:numId="3">
    <w:abstractNumId w:val="17"/>
  </w:num>
  <w:num w:numId="4">
    <w:abstractNumId w:val="10"/>
  </w:num>
  <w:num w:numId="5">
    <w:abstractNumId w:val="23"/>
  </w:num>
  <w:num w:numId="6">
    <w:abstractNumId w:val="7"/>
  </w:num>
  <w:num w:numId="7">
    <w:abstractNumId w:val="16"/>
  </w:num>
  <w:num w:numId="8">
    <w:abstractNumId w:val="8"/>
  </w:num>
  <w:num w:numId="9">
    <w:abstractNumId w:val="0"/>
  </w:num>
  <w:num w:numId="10">
    <w:abstractNumId w:val="5"/>
  </w:num>
  <w:num w:numId="11">
    <w:abstractNumId w:val="1"/>
  </w:num>
  <w:num w:numId="12">
    <w:abstractNumId w:val="15"/>
  </w:num>
  <w:num w:numId="13">
    <w:abstractNumId w:val="4"/>
  </w:num>
  <w:num w:numId="14">
    <w:abstractNumId w:val="18"/>
  </w:num>
  <w:num w:numId="15">
    <w:abstractNumId w:val="9"/>
  </w:num>
  <w:num w:numId="16">
    <w:abstractNumId w:val="3"/>
  </w:num>
  <w:num w:numId="17">
    <w:abstractNumId w:val="6"/>
  </w:num>
  <w:num w:numId="18">
    <w:abstractNumId w:val="20"/>
  </w:num>
  <w:num w:numId="19">
    <w:abstractNumId w:val="13"/>
  </w:num>
  <w:num w:numId="20">
    <w:abstractNumId w:val="2"/>
  </w:num>
  <w:num w:numId="21">
    <w:abstractNumId w:val="21"/>
  </w:num>
  <w:num w:numId="22">
    <w:abstractNumId w:val="14"/>
  </w:num>
  <w:num w:numId="23">
    <w:abstractNumId w:val="1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aWzX+V4C+ND3v+zI6CTobePOYdP2s/c23ZoZ9kg6QqK204PE+7MEOXz4v4IzS6YRjGm4k1jJZkMlhmmLJmjJQ==" w:salt="0VY+IjGA8HlmJhSypfuTzA=="/>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DA0"/>
    <w:rsid w:val="000554B0"/>
    <w:rsid w:val="000926C4"/>
    <w:rsid w:val="00092ED2"/>
    <w:rsid w:val="00097896"/>
    <w:rsid w:val="000C0A4C"/>
    <w:rsid w:val="000E7117"/>
    <w:rsid w:val="00102127"/>
    <w:rsid w:val="00154670"/>
    <w:rsid w:val="00202815"/>
    <w:rsid w:val="00225834"/>
    <w:rsid w:val="00226CBA"/>
    <w:rsid w:val="002548BC"/>
    <w:rsid w:val="00265A2C"/>
    <w:rsid w:val="00266871"/>
    <w:rsid w:val="00280128"/>
    <w:rsid w:val="002A40D2"/>
    <w:rsid w:val="002A5691"/>
    <w:rsid w:val="002B035C"/>
    <w:rsid w:val="002D2BE8"/>
    <w:rsid w:val="002F0964"/>
    <w:rsid w:val="00300E3B"/>
    <w:rsid w:val="00302A22"/>
    <w:rsid w:val="00305A2E"/>
    <w:rsid w:val="0034469D"/>
    <w:rsid w:val="00385C9C"/>
    <w:rsid w:val="00386A46"/>
    <w:rsid w:val="003A1FBB"/>
    <w:rsid w:val="003A3653"/>
    <w:rsid w:val="003B4930"/>
    <w:rsid w:val="003F2C41"/>
    <w:rsid w:val="003F5DB1"/>
    <w:rsid w:val="004002EB"/>
    <w:rsid w:val="0045552B"/>
    <w:rsid w:val="004A6817"/>
    <w:rsid w:val="004A765C"/>
    <w:rsid w:val="004B44B7"/>
    <w:rsid w:val="004C1B1F"/>
    <w:rsid w:val="004E5496"/>
    <w:rsid w:val="005007F5"/>
    <w:rsid w:val="00506A25"/>
    <w:rsid w:val="00506B8C"/>
    <w:rsid w:val="005141E8"/>
    <w:rsid w:val="00531C38"/>
    <w:rsid w:val="00536410"/>
    <w:rsid w:val="0054370C"/>
    <w:rsid w:val="0054700D"/>
    <w:rsid w:val="0055495D"/>
    <w:rsid w:val="005749DD"/>
    <w:rsid w:val="005813FC"/>
    <w:rsid w:val="005A392F"/>
    <w:rsid w:val="005B0F13"/>
    <w:rsid w:val="005C3F54"/>
    <w:rsid w:val="005D63FD"/>
    <w:rsid w:val="005F2C2F"/>
    <w:rsid w:val="00601597"/>
    <w:rsid w:val="00625113"/>
    <w:rsid w:val="00633EFA"/>
    <w:rsid w:val="00671C02"/>
    <w:rsid w:val="00672A17"/>
    <w:rsid w:val="006747C4"/>
    <w:rsid w:val="006A275E"/>
    <w:rsid w:val="006A52DD"/>
    <w:rsid w:val="006D7B37"/>
    <w:rsid w:val="0072296F"/>
    <w:rsid w:val="00726C58"/>
    <w:rsid w:val="00740147"/>
    <w:rsid w:val="007437A7"/>
    <w:rsid w:val="00744B27"/>
    <w:rsid w:val="007759E4"/>
    <w:rsid w:val="00781A64"/>
    <w:rsid w:val="00795F80"/>
    <w:rsid w:val="007A1998"/>
    <w:rsid w:val="007A3F56"/>
    <w:rsid w:val="007B342C"/>
    <w:rsid w:val="007E4805"/>
    <w:rsid w:val="007F4EE3"/>
    <w:rsid w:val="008102F6"/>
    <w:rsid w:val="00812D37"/>
    <w:rsid w:val="0084319C"/>
    <w:rsid w:val="00861559"/>
    <w:rsid w:val="00875D25"/>
    <w:rsid w:val="00893FBA"/>
    <w:rsid w:val="008A16F5"/>
    <w:rsid w:val="008C585F"/>
    <w:rsid w:val="008D0974"/>
    <w:rsid w:val="008D0A57"/>
    <w:rsid w:val="008D33F5"/>
    <w:rsid w:val="008D7E2F"/>
    <w:rsid w:val="00911DE7"/>
    <w:rsid w:val="00920629"/>
    <w:rsid w:val="0092350E"/>
    <w:rsid w:val="00923EA5"/>
    <w:rsid w:val="00942DA0"/>
    <w:rsid w:val="00991D56"/>
    <w:rsid w:val="00993AD2"/>
    <w:rsid w:val="009B7D40"/>
    <w:rsid w:val="009D7C8E"/>
    <w:rsid w:val="00A01546"/>
    <w:rsid w:val="00A16A9D"/>
    <w:rsid w:val="00A4460E"/>
    <w:rsid w:val="00A6636D"/>
    <w:rsid w:val="00AD369C"/>
    <w:rsid w:val="00AF6340"/>
    <w:rsid w:val="00B016BC"/>
    <w:rsid w:val="00B208FC"/>
    <w:rsid w:val="00B3056B"/>
    <w:rsid w:val="00B4682E"/>
    <w:rsid w:val="00B7377E"/>
    <w:rsid w:val="00B73974"/>
    <w:rsid w:val="00BC5F47"/>
    <w:rsid w:val="00BE01E6"/>
    <w:rsid w:val="00C02F25"/>
    <w:rsid w:val="00C042FF"/>
    <w:rsid w:val="00C35DBC"/>
    <w:rsid w:val="00C518C3"/>
    <w:rsid w:val="00C65F00"/>
    <w:rsid w:val="00C75F4A"/>
    <w:rsid w:val="00CA4ED7"/>
    <w:rsid w:val="00CB2B0B"/>
    <w:rsid w:val="00CB6CF4"/>
    <w:rsid w:val="00D118AD"/>
    <w:rsid w:val="00D11E77"/>
    <w:rsid w:val="00D307C5"/>
    <w:rsid w:val="00D63CD8"/>
    <w:rsid w:val="00D66056"/>
    <w:rsid w:val="00D7025C"/>
    <w:rsid w:val="00D707DF"/>
    <w:rsid w:val="00D824CA"/>
    <w:rsid w:val="00D85BB7"/>
    <w:rsid w:val="00DB2386"/>
    <w:rsid w:val="00DC115B"/>
    <w:rsid w:val="00DC1F43"/>
    <w:rsid w:val="00DC70EA"/>
    <w:rsid w:val="00DF3B06"/>
    <w:rsid w:val="00DF5D9A"/>
    <w:rsid w:val="00E126A7"/>
    <w:rsid w:val="00E129EE"/>
    <w:rsid w:val="00E32F3C"/>
    <w:rsid w:val="00E45204"/>
    <w:rsid w:val="00E6573A"/>
    <w:rsid w:val="00E8657E"/>
    <w:rsid w:val="00EA4053"/>
    <w:rsid w:val="00EC6CB5"/>
    <w:rsid w:val="00F14922"/>
    <w:rsid w:val="00F228C2"/>
    <w:rsid w:val="00F243A5"/>
    <w:rsid w:val="00F308D3"/>
    <w:rsid w:val="00F353BA"/>
    <w:rsid w:val="00F55A25"/>
    <w:rsid w:val="00FA299C"/>
    <w:rsid w:val="00FA6E29"/>
    <w:rsid w:val="00FB67F5"/>
    <w:rsid w:val="00FC797E"/>
    <w:rsid w:val="00FD402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4CD5A"/>
  <w15:docId w15:val="{9DAC0B25-A2EC-4A17-90CF-7771951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ED"/>
    <w:pPr>
      <w:spacing w:after="200" w:line="276" w:lineRule="auto"/>
      <w:mirrorIndents/>
    </w:pPr>
    <w:rPr>
      <w:rFonts w:asciiTheme="minorHAnsi" w:hAnsiTheme="minorHAnsi" w:cstheme="minorHAnsi"/>
      <w:sz w:val="22"/>
      <w:szCs w:val="22"/>
      <w:lang w:val="en-GB" w:eastAsia="en-US"/>
    </w:rPr>
  </w:style>
  <w:style w:type="paragraph" w:styleId="Heading1">
    <w:name w:val="heading 1"/>
    <w:basedOn w:val="Normal"/>
    <w:next w:val="Normal"/>
    <w:link w:val="Heading1Char"/>
    <w:uiPriority w:val="9"/>
    <w:qFormat/>
    <w:rsid w:val="00DB37F7"/>
    <w:pPr>
      <w:numPr>
        <w:numId w:val="1"/>
      </w:numPr>
      <w:outlineLvl w:val="0"/>
    </w:pPr>
    <w:rPr>
      <w:b/>
      <w:sz w:val="28"/>
      <w:szCs w:val="28"/>
    </w:rPr>
  </w:style>
  <w:style w:type="paragraph" w:styleId="Heading2">
    <w:name w:val="heading 2"/>
    <w:basedOn w:val="Normal"/>
    <w:next w:val="Normal"/>
    <w:link w:val="Heading2Char"/>
    <w:uiPriority w:val="9"/>
    <w:unhideWhenUsed/>
    <w:qFormat/>
    <w:rsid w:val="003914ED"/>
    <w:pPr>
      <w:numPr>
        <w:ilvl w:val="1"/>
        <w:numId w:val="1"/>
      </w:numPr>
      <w:outlineLvl w:val="1"/>
    </w:pPr>
    <w:rPr>
      <w:b/>
      <w:sz w:val="24"/>
      <w:szCs w:val="24"/>
    </w:rPr>
  </w:style>
  <w:style w:type="paragraph" w:styleId="Heading3">
    <w:name w:val="heading 3"/>
    <w:basedOn w:val="Normal"/>
    <w:next w:val="Normal"/>
    <w:link w:val="Heading3Char"/>
    <w:uiPriority w:val="9"/>
    <w:unhideWhenUsed/>
    <w:qFormat/>
    <w:rsid w:val="00C73CE6"/>
    <w:pPr>
      <w:numPr>
        <w:ilvl w:val="2"/>
        <w:numId w:val="1"/>
      </w:numPr>
      <w:outlineLvl w:val="2"/>
    </w:pPr>
    <w:rPr>
      <w:b/>
      <w:i/>
    </w:rPr>
  </w:style>
  <w:style w:type="paragraph" w:styleId="Heading4">
    <w:name w:val="heading 4"/>
    <w:basedOn w:val="Normal"/>
    <w:next w:val="Normal"/>
    <w:link w:val="Heading4Char"/>
    <w:uiPriority w:val="9"/>
    <w:semiHidden/>
    <w:unhideWhenUsed/>
    <w:qFormat/>
    <w:rsid w:val="00847B1E"/>
    <w:pPr>
      <w:keepNext/>
      <w:keepLines/>
      <w:suppressAutoHyphens/>
      <w:spacing w:before="40" w:line="100" w:lineRule="atLeast"/>
      <w:jc w:val="both"/>
      <w:outlineLvl w:val="3"/>
    </w:pPr>
    <w:rPr>
      <w:rFonts w:asciiTheme="majorHAnsi" w:eastAsiaTheme="majorEastAsia" w:hAnsiTheme="majorHAnsi" w:cstheme="majorBidi"/>
      <w:i/>
      <w:iCs/>
      <w:color w:val="365F91" w:themeColor="accent1" w:themeShade="BF"/>
      <w:sz w:val="21"/>
      <w:szCs w:val="21"/>
      <w:lang w:val="en-US" w:eastAsia="ar-SA"/>
    </w:rPr>
  </w:style>
  <w:style w:type="paragraph" w:styleId="Heading5">
    <w:name w:val="heading 5"/>
    <w:basedOn w:val="Normal"/>
    <w:next w:val="Normal"/>
    <w:link w:val="Heading5Char"/>
    <w:uiPriority w:val="9"/>
    <w:semiHidden/>
    <w:unhideWhenUsed/>
    <w:qFormat/>
    <w:rsid w:val="00847B1E"/>
    <w:pPr>
      <w:keepNext/>
      <w:keepLines/>
      <w:suppressAutoHyphens/>
      <w:spacing w:before="40" w:line="100" w:lineRule="atLeast"/>
      <w:jc w:val="both"/>
      <w:outlineLvl w:val="4"/>
    </w:pPr>
    <w:rPr>
      <w:rFonts w:asciiTheme="majorHAnsi" w:eastAsiaTheme="majorEastAsia" w:hAnsiTheme="majorHAnsi" w:cstheme="majorBidi"/>
      <w:color w:val="365F91" w:themeColor="accent1" w:themeShade="BF"/>
      <w:sz w:val="21"/>
      <w:szCs w:val="21"/>
      <w:lang w:val="en-US" w:eastAsia="ar-SA"/>
    </w:rPr>
  </w:style>
  <w:style w:type="paragraph" w:styleId="Heading6">
    <w:name w:val="heading 6"/>
    <w:basedOn w:val="Normal"/>
    <w:next w:val="Normal"/>
    <w:link w:val="Heading6Char"/>
    <w:uiPriority w:val="9"/>
    <w:semiHidden/>
    <w:unhideWhenUsed/>
    <w:qFormat/>
    <w:rsid w:val="00847B1E"/>
    <w:pPr>
      <w:keepNext/>
      <w:keepLines/>
      <w:suppressAutoHyphens/>
      <w:spacing w:before="40" w:line="100" w:lineRule="atLeast"/>
      <w:jc w:val="both"/>
      <w:outlineLvl w:val="5"/>
    </w:pPr>
    <w:rPr>
      <w:rFonts w:asciiTheme="majorHAnsi" w:eastAsiaTheme="majorEastAsia" w:hAnsiTheme="majorHAnsi" w:cstheme="majorBidi"/>
      <w:color w:val="243F60" w:themeColor="accent1" w:themeShade="7F"/>
      <w:sz w:val="21"/>
      <w:szCs w:val="21"/>
      <w:lang w:val="en-US" w:eastAsia="ar-SA"/>
    </w:rPr>
  </w:style>
  <w:style w:type="paragraph" w:styleId="Heading7">
    <w:name w:val="heading 7"/>
    <w:basedOn w:val="Normal"/>
    <w:next w:val="Normal"/>
    <w:link w:val="Heading7Char"/>
    <w:uiPriority w:val="9"/>
    <w:semiHidden/>
    <w:unhideWhenUsed/>
    <w:qFormat/>
    <w:rsid w:val="00847B1E"/>
    <w:pPr>
      <w:keepNext/>
      <w:keepLines/>
      <w:suppressAutoHyphens/>
      <w:spacing w:before="40" w:line="100" w:lineRule="atLeast"/>
      <w:jc w:val="both"/>
      <w:outlineLvl w:val="6"/>
    </w:pPr>
    <w:rPr>
      <w:rFonts w:asciiTheme="majorHAnsi" w:eastAsiaTheme="majorEastAsia" w:hAnsiTheme="majorHAnsi" w:cstheme="majorBidi"/>
      <w:i/>
      <w:iCs/>
      <w:color w:val="243F60" w:themeColor="accent1" w:themeShade="7F"/>
      <w:sz w:val="21"/>
      <w:szCs w:val="21"/>
      <w:lang w:val="en-US" w:eastAsia="ar-SA"/>
    </w:rPr>
  </w:style>
  <w:style w:type="paragraph" w:styleId="Heading8">
    <w:name w:val="heading 8"/>
    <w:basedOn w:val="Normal"/>
    <w:next w:val="Normal"/>
    <w:link w:val="Heading8Char"/>
    <w:uiPriority w:val="9"/>
    <w:semiHidden/>
    <w:unhideWhenUsed/>
    <w:qFormat/>
    <w:rsid w:val="00847B1E"/>
    <w:pPr>
      <w:keepNext/>
      <w:keepLines/>
      <w:suppressAutoHyphens/>
      <w:spacing w:before="40" w:line="100" w:lineRule="atLeast"/>
      <w:jc w:val="both"/>
      <w:outlineLvl w:val="7"/>
    </w:pPr>
    <w:rPr>
      <w:rFonts w:asciiTheme="majorHAnsi" w:eastAsiaTheme="majorEastAsia" w:hAnsiTheme="majorHAnsi" w:cstheme="majorBidi"/>
      <w:color w:val="272727" w:themeColor="text1" w:themeTint="D8"/>
      <w:sz w:val="21"/>
      <w:szCs w:val="21"/>
      <w:lang w:val="en-US" w:eastAsia="ar-SA"/>
    </w:rPr>
  </w:style>
  <w:style w:type="paragraph" w:styleId="Heading9">
    <w:name w:val="heading 9"/>
    <w:basedOn w:val="Normal"/>
    <w:next w:val="Normal"/>
    <w:link w:val="Heading9Char"/>
    <w:uiPriority w:val="9"/>
    <w:unhideWhenUsed/>
    <w:qFormat/>
    <w:rsid w:val="00847B1E"/>
    <w:pPr>
      <w:keepNext/>
      <w:keepLines/>
      <w:suppressAutoHyphens/>
      <w:spacing w:before="40" w:line="100" w:lineRule="atLeast"/>
      <w:jc w:val="both"/>
      <w:outlineLvl w:val="8"/>
    </w:pPr>
    <w:rPr>
      <w:rFonts w:asciiTheme="majorHAnsi" w:eastAsiaTheme="majorEastAsia" w:hAnsiTheme="majorHAnsi" w:cstheme="majorBidi"/>
      <w:i/>
      <w:iCs/>
      <w:color w:val="272727" w:themeColor="text1" w:themeTint="D8"/>
      <w:sz w:val="21"/>
      <w:szCs w:val="21"/>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F961E0"/>
    <w:rPr>
      <w:sz w:val="22"/>
      <w:szCs w:val="22"/>
      <w:lang w:val="en-GB" w:eastAsia="en-US"/>
    </w:rPr>
  </w:style>
  <w:style w:type="character" w:customStyle="1" w:styleId="FooterChar">
    <w:name w:val="Footer Char"/>
    <w:link w:val="Footer"/>
    <w:uiPriority w:val="99"/>
    <w:qFormat/>
    <w:rsid w:val="00F961E0"/>
    <w:rPr>
      <w:sz w:val="22"/>
      <w:szCs w:val="22"/>
      <w:lang w:val="en-GB" w:eastAsia="en-US"/>
    </w:rPr>
  </w:style>
  <w:style w:type="character" w:customStyle="1" w:styleId="InternetLink">
    <w:name w:val="Internet Link"/>
    <w:uiPriority w:val="99"/>
    <w:unhideWhenUsed/>
    <w:rsid w:val="00F961E0"/>
    <w:rPr>
      <w:color w:val="0000FF"/>
      <w:u w:val="single"/>
      <w:lang w:val="en-GB"/>
    </w:rPr>
  </w:style>
  <w:style w:type="character" w:customStyle="1" w:styleId="Heading1Char">
    <w:name w:val="Heading 1 Char"/>
    <w:link w:val="Heading1"/>
    <w:uiPriority w:val="9"/>
    <w:qFormat/>
    <w:rsid w:val="00DB37F7"/>
    <w:rPr>
      <w:rFonts w:asciiTheme="minorHAnsi" w:hAnsiTheme="minorHAnsi" w:cstheme="minorHAnsi"/>
      <w:b/>
      <w:sz w:val="28"/>
      <w:szCs w:val="28"/>
      <w:lang w:val="en-GB" w:eastAsia="en-US"/>
    </w:rPr>
  </w:style>
  <w:style w:type="character" w:styleId="CommentReference">
    <w:name w:val="annotation reference"/>
    <w:uiPriority w:val="99"/>
    <w:semiHidden/>
    <w:unhideWhenUsed/>
    <w:qFormat/>
    <w:rsid w:val="00903ED2"/>
    <w:rPr>
      <w:sz w:val="16"/>
      <w:szCs w:val="16"/>
      <w:lang w:val="en-GB"/>
    </w:rPr>
  </w:style>
  <w:style w:type="character" w:customStyle="1" w:styleId="CommentTextChar">
    <w:name w:val="Comment Text Char"/>
    <w:link w:val="CommentText"/>
    <w:uiPriority w:val="99"/>
    <w:qFormat/>
    <w:rsid w:val="00903ED2"/>
    <w:rPr>
      <w:lang w:val="en-GB" w:eastAsia="en-US"/>
    </w:rPr>
  </w:style>
  <w:style w:type="character" w:customStyle="1" w:styleId="CommentSubjectChar">
    <w:name w:val="Comment Subject Char"/>
    <w:link w:val="CommentSubject"/>
    <w:uiPriority w:val="99"/>
    <w:semiHidden/>
    <w:qFormat/>
    <w:rsid w:val="00903ED2"/>
    <w:rPr>
      <w:b/>
      <w:bCs/>
      <w:lang w:val="en-GB" w:eastAsia="en-US"/>
    </w:rPr>
  </w:style>
  <w:style w:type="character" w:customStyle="1" w:styleId="BalloonTextChar">
    <w:name w:val="Balloon Text Char"/>
    <w:link w:val="BalloonText"/>
    <w:uiPriority w:val="99"/>
    <w:semiHidden/>
    <w:qFormat/>
    <w:rsid w:val="00903ED2"/>
    <w:rPr>
      <w:rFonts w:ascii="Tahoma" w:hAnsi="Tahoma" w:cs="Tahoma"/>
      <w:sz w:val="16"/>
      <w:szCs w:val="16"/>
      <w:lang w:val="en-GB" w:eastAsia="en-US"/>
    </w:rPr>
  </w:style>
  <w:style w:type="character" w:customStyle="1" w:styleId="Heading2Char">
    <w:name w:val="Heading 2 Char"/>
    <w:link w:val="Heading2"/>
    <w:uiPriority w:val="9"/>
    <w:qFormat/>
    <w:rsid w:val="003914ED"/>
    <w:rPr>
      <w:rFonts w:asciiTheme="minorHAnsi" w:hAnsiTheme="minorHAnsi" w:cstheme="minorHAnsi"/>
      <w:b/>
      <w:sz w:val="24"/>
      <w:szCs w:val="24"/>
      <w:lang w:val="en-GB" w:eastAsia="en-US"/>
    </w:rPr>
  </w:style>
  <w:style w:type="character" w:customStyle="1" w:styleId="Heading3Char">
    <w:name w:val="Heading 3 Char"/>
    <w:link w:val="Heading3"/>
    <w:uiPriority w:val="9"/>
    <w:qFormat/>
    <w:rsid w:val="00C73CE6"/>
    <w:rPr>
      <w:rFonts w:asciiTheme="minorHAnsi" w:hAnsiTheme="minorHAnsi" w:cstheme="minorHAnsi"/>
      <w:b/>
      <w:i/>
      <w:sz w:val="22"/>
      <w:szCs w:val="22"/>
      <w:lang w:val="en-GB" w:eastAsia="en-US"/>
    </w:rPr>
  </w:style>
  <w:style w:type="character" w:customStyle="1" w:styleId="Heading4Char">
    <w:name w:val="Heading 4 Char"/>
    <w:basedOn w:val="DefaultParagraphFont"/>
    <w:link w:val="Heading4"/>
    <w:uiPriority w:val="9"/>
    <w:semiHidden/>
    <w:qFormat/>
    <w:rsid w:val="00847B1E"/>
    <w:rPr>
      <w:rFonts w:asciiTheme="majorHAnsi" w:eastAsiaTheme="majorEastAsia" w:hAnsiTheme="majorHAnsi" w:cstheme="majorBidi"/>
      <w:i/>
      <w:iCs/>
      <w:color w:val="365F91" w:themeColor="accent1" w:themeShade="BF"/>
      <w:sz w:val="21"/>
      <w:szCs w:val="21"/>
      <w:lang w:val="en-US" w:eastAsia="ar-SA"/>
    </w:rPr>
  </w:style>
  <w:style w:type="character" w:customStyle="1" w:styleId="Heading5Char">
    <w:name w:val="Heading 5 Char"/>
    <w:basedOn w:val="DefaultParagraphFont"/>
    <w:link w:val="Heading5"/>
    <w:uiPriority w:val="9"/>
    <w:semiHidden/>
    <w:qFormat/>
    <w:rsid w:val="00847B1E"/>
    <w:rPr>
      <w:rFonts w:asciiTheme="majorHAnsi" w:eastAsiaTheme="majorEastAsia" w:hAnsiTheme="majorHAnsi" w:cstheme="majorBidi"/>
      <w:color w:val="365F91" w:themeColor="accent1" w:themeShade="BF"/>
      <w:sz w:val="21"/>
      <w:szCs w:val="21"/>
      <w:lang w:val="en-US" w:eastAsia="ar-SA"/>
    </w:rPr>
  </w:style>
  <w:style w:type="character" w:customStyle="1" w:styleId="Heading6Char">
    <w:name w:val="Heading 6 Char"/>
    <w:basedOn w:val="DefaultParagraphFont"/>
    <w:link w:val="Heading6"/>
    <w:uiPriority w:val="9"/>
    <w:semiHidden/>
    <w:qFormat/>
    <w:rsid w:val="00847B1E"/>
    <w:rPr>
      <w:rFonts w:asciiTheme="majorHAnsi" w:eastAsiaTheme="majorEastAsia" w:hAnsiTheme="majorHAnsi" w:cstheme="majorBidi"/>
      <w:color w:val="243F60" w:themeColor="accent1" w:themeShade="7F"/>
      <w:sz w:val="21"/>
      <w:szCs w:val="21"/>
      <w:lang w:val="en-US" w:eastAsia="ar-SA"/>
    </w:rPr>
  </w:style>
  <w:style w:type="character" w:customStyle="1" w:styleId="Heading7Char">
    <w:name w:val="Heading 7 Char"/>
    <w:basedOn w:val="DefaultParagraphFont"/>
    <w:link w:val="Heading7"/>
    <w:uiPriority w:val="9"/>
    <w:semiHidden/>
    <w:qFormat/>
    <w:rsid w:val="00847B1E"/>
    <w:rPr>
      <w:rFonts w:asciiTheme="majorHAnsi" w:eastAsiaTheme="majorEastAsia" w:hAnsiTheme="majorHAnsi" w:cstheme="majorBidi"/>
      <w:i/>
      <w:iCs/>
      <w:color w:val="243F60" w:themeColor="accent1" w:themeShade="7F"/>
      <w:sz w:val="21"/>
      <w:szCs w:val="21"/>
      <w:lang w:val="en-US" w:eastAsia="ar-SA"/>
    </w:rPr>
  </w:style>
  <w:style w:type="character" w:customStyle="1" w:styleId="Heading8Char">
    <w:name w:val="Heading 8 Char"/>
    <w:basedOn w:val="DefaultParagraphFont"/>
    <w:link w:val="Heading8"/>
    <w:uiPriority w:val="9"/>
    <w:semiHidden/>
    <w:qFormat/>
    <w:rsid w:val="00847B1E"/>
    <w:rPr>
      <w:rFonts w:asciiTheme="majorHAnsi" w:eastAsiaTheme="majorEastAsia" w:hAnsiTheme="majorHAnsi" w:cstheme="majorBidi"/>
      <w:color w:val="272727" w:themeColor="text1" w:themeTint="D8"/>
      <w:sz w:val="21"/>
      <w:szCs w:val="21"/>
      <w:lang w:val="en-US" w:eastAsia="ar-SA"/>
    </w:rPr>
  </w:style>
  <w:style w:type="character" w:customStyle="1" w:styleId="Heading9Char">
    <w:name w:val="Heading 9 Char"/>
    <w:basedOn w:val="DefaultParagraphFont"/>
    <w:link w:val="Heading9"/>
    <w:uiPriority w:val="9"/>
    <w:qFormat/>
    <w:rsid w:val="00847B1E"/>
    <w:rPr>
      <w:rFonts w:asciiTheme="majorHAnsi" w:eastAsiaTheme="majorEastAsia" w:hAnsiTheme="majorHAnsi" w:cstheme="majorBidi"/>
      <w:i/>
      <w:iCs/>
      <w:color w:val="272727" w:themeColor="text1" w:themeTint="D8"/>
      <w:sz w:val="21"/>
      <w:szCs w:val="21"/>
      <w:lang w:val="en-US" w:eastAsia="ar-SA"/>
    </w:rPr>
  </w:style>
  <w:style w:type="character" w:customStyle="1" w:styleId="Mention1">
    <w:name w:val="Mention1"/>
    <w:basedOn w:val="DefaultParagraphFont"/>
    <w:uiPriority w:val="99"/>
    <w:semiHidden/>
    <w:unhideWhenUsed/>
    <w:qFormat/>
    <w:rsid w:val="009359D3"/>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F961E0"/>
    <w:pPr>
      <w:tabs>
        <w:tab w:val="center" w:pos="4536"/>
        <w:tab w:val="right" w:pos="9072"/>
      </w:tabs>
    </w:pPr>
  </w:style>
  <w:style w:type="paragraph" w:styleId="Footer">
    <w:name w:val="footer"/>
    <w:basedOn w:val="Normal"/>
    <w:link w:val="FooterChar"/>
    <w:uiPriority w:val="99"/>
    <w:unhideWhenUsed/>
    <w:rsid w:val="00F961E0"/>
    <w:pPr>
      <w:tabs>
        <w:tab w:val="center" w:pos="4536"/>
        <w:tab w:val="right" w:pos="9072"/>
      </w:tabs>
    </w:pPr>
  </w:style>
  <w:style w:type="paragraph" w:styleId="CommentText">
    <w:name w:val="annotation text"/>
    <w:basedOn w:val="Normal"/>
    <w:link w:val="CommentTextChar"/>
    <w:uiPriority w:val="99"/>
    <w:unhideWhenUsed/>
    <w:qFormat/>
    <w:rsid w:val="00903ED2"/>
    <w:rPr>
      <w:sz w:val="20"/>
      <w:szCs w:val="20"/>
    </w:rPr>
  </w:style>
  <w:style w:type="paragraph" w:styleId="CommentSubject">
    <w:name w:val="annotation subject"/>
    <w:basedOn w:val="CommentText"/>
    <w:link w:val="CommentSubjectChar"/>
    <w:uiPriority w:val="99"/>
    <w:semiHidden/>
    <w:unhideWhenUsed/>
    <w:qFormat/>
    <w:rsid w:val="00903ED2"/>
    <w:rPr>
      <w:b/>
      <w:bCs/>
    </w:rPr>
  </w:style>
  <w:style w:type="paragraph" w:styleId="BalloonText">
    <w:name w:val="Balloon Text"/>
    <w:basedOn w:val="Normal"/>
    <w:link w:val="BalloonTextChar"/>
    <w:uiPriority w:val="99"/>
    <w:semiHidden/>
    <w:unhideWhenUsed/>
    <w:qFormat/>
    <w:rsid w:val="00903ED2"/>
    <w:rPr>
      <w:rFonts w:ascii="Tahoma" w:hAnsi="Tahoma"/>
      <w:sz w:val="16"/>
      <w:szCs w:val="16"/>
    </w:rPr>
  </w:style>
  <w:style w:type="paragraph" w:styleId="TOC1">
    <w:name w:val="toc 1"/>
    <w:basedOn w:val="Normal"/>
    <w:next w:val="Normal"/>
    <w:autoRedefine/>
    <w:uiPriority w:val="39"/>
    <w:unhideWhenUsed/>
    <w:rsid w:val="00781A64"/>
    <w:pPr>
      <w:tabs>
        <w:tab w:val="left" w:pos="440"/>
        <w:tab w:val="right" w:leader="dot" w:pos="9062"/>
      </w:tabs>
      <w:spacing w:before="120" w:after="0"/>
    </w:pPr>
    <w:rPr>
      <w:b/>
      <w:bCs/>
      <w:caps/>
      <w:sz w:val="20"/>
      <w:szCs w:val="20"/>
    </w:rPr>
  </w:style>
  <w:style w:type="paragraph" w:styleId="TOC2">
    <w:name w:val="toc 2"/>
    <w:basedOn w:val="Normal"/>
    <w:next w:val="Normal"/>
    <w:autoRedefine/>
    <w:uiPriority w:val="39"/>
    <w:unhideWhenUsed/>
    <w:rsid w:val="00781A64"/>
    <w:pPr>
      <w:tabs>
        <w:tab w:val="right" w:leader="dot" w:pos="9061"/>
      </w:tabs>
      <w:spacing w:after="0"/>
      <w:ind w:left="221"/>
    </w:pPr>
    <w:rPr>
      <w:smallCaps/>
      <w:sz w:val="20"/>
      <w:szCs w:val="20"/>
    </w:rPr>
  </w:style>
  <w:style w:type="paragraph" w:styleId="TOC3">
    <w:name w:val="toc 3"/>
    <w:basedOn w:val="Normal"/>
    <w:next w:val="Normal"/>
    <w:autoRedefine/>
    <w:uiPriority w:val="39"/>
    <w:unhideWhenUsed/>
    <w:rsid w:val="00F228C2"/>
    <w:pPr>
      <w:tabs>
        <w:tab w:val="left" w:pos="1320"/>
        <w:tab w:val="right" w:leader="dot" w:pos="9060"/>
      </w:tabs>
      <w:spacing w:after="0"/>
      <w:ind w:left="440"/>
    </w:pPr>
    <w:rPr>
      <w:i/>
      <w:iCs/>
      <w:sz w:val="20"/>
      <w:szCs w:val="20"/>
    </w:rPr>
  </w:style>
  <w:style w:type="paragraph" w:styleId="TOC4">
    <w:name w:val="toc 4"/>
    <w:basedOn w:val="Normal"/>
    <w:next w:val="Normal"/>
    <w:autoRedefine/>
    <w:uiPriority w:val="39"/>
    <w:unhideWhenUsed/>
    <w:rsid w:val="00D01489"/>
    <w:pPr>
      <w:ind w:left="660"/>
    </w:pPr>
    <w:rPr>
      <w:sz w:val="18"/>
      <w:szCs w:val="18"/>
    </w:rPr>
  </w:style>
  <w:style w:type="paragraph" w:styleId="TOC5">
    <w:name w:val="toc 5"/>
    <w:basedOn w:val="Normal"/>
    <w:next w:val="Normal"/>
    <w:autoRedefine/>
    <w:uiPriority w:val="39"/>
    <w:unhideWhenUsed/>
    <w:rsid w:val="00D01489"/>
    <w:pPr>
      <w:ind w:left="880"/>
    </w:pPr>
    <w:rPr>
      <w:sz w:val="18"/>
      <w:szCs w:val="18"/>
    </w:rPr>
  </w:style>
  <w:style w:type="paragraph" w:styleId="TOC6">
    <w:name w:val="toc 6"/>
    <w:basedOn w:val="Normal"/>
    <w:next w:val="Normal"/>
    <w:autoRedefine/>
    <w:uiPriority w:val="39"/>
    <w:unhideWhenUsed/>
    <w:rsid w:val="00D01489"/>
    <w:pPr>
      <w:ind w:left="1100"/>
    </w:pPr>
    <w:rPr>
      <w:sz w:val="18"/>
      <w:szCs w:val="18"/>
    </w:rPr>
  </w:style>
  <w:style w:type="paragraph" w:styleId="TOC7">
    <w:name w:val="toc 7"/>
    <w:basedOn w:val="Normal"/>
    <w:next w:val="Normal"/>
    <w:autoRedefine/>
    <w:uiPriority w:val="39"/>
    <w:unhideWhenUsed/>
    <w:rsid w:val="00D01489"/>
    <w:pPr>
      <w:ind w:left="1320"/>
    </w:pPr>
    <w:rPr>
      <w:sz w:val="18"/>
      <w:szCs w:val="18"/>
    </w:rPr>
  </w:style>
  <w:style w:type="paragraph" w:styleId="TOC8">
    <w:name w:val="toc 8"/>
    <w:basedOn w:val="Normal"/>
    <w:next w:val="Normal"/>
    <w:autoRedefine/>
    <w:uiPriority w:val="39"/>
    <w:unhideWhenUsed/>
    <w:rsid w:val="00D01489"/>
    <w:pPr>
      <w:ind w:left="1540"/>
    </w:pPr>
    <w:rPr>
      <w:sz w:val="18"/>
      <w:szCs w:val="18"/>
    </w:rPr>
  </w:style>
  <w:style w:type="paragraph" w:styleId="TOC9">
    <w:name w:val="toc 9"/>
    <w:basedOn w:val="Normal"/>
    <w:next w:val="Normal"/>
    <w:autoRedefine/>
    <w:uiPriority w:val="39"/>
    <w:unhideWhenUsed/>
    <w:rsid w:val="00D01489"/>
    <w:pPr>
      <w:ind w:left="1760"/>
    </w:pPr>
    <w:rPr>
      <w:sz w:val="18"/>
      <w:szCs w:val="18"/>
    </w:rPr>
  </w:style>
  <w:style w:type="paragraph" w:styleId="Revision">
    <w:name w:val="Revision"/>
    <w:uiPriority w:val="99"/>
    <w:semiHidden/>
    <w:qFormat/>
    <w:rsid w:val="009A5F28"/>
    <w:rPr>
      <w:sz w:val="22"/>
      <w:szCs w:val="22"/>
      <w:lang w:val="en-GB" w:eastAsia="en-US"/>
    </w:rPr>
  </w:style>
  <w:style w:type="paragraph" w:styleId="TOCHeading">
    <w:name w:val="TOC Heading"/>
    <w:basedOn w:val="Heading1"/>
    <w:next w:val="Normal"/>
    <w:uiPriority w:val="39"/>
    <w:unhideWhenUsed/>
    <w:qFormat/>
    <w:rsid w:val="00EB09E9"/>
    <w:pPr>
      <w:keepNext/>
      <w:keepLines/>
      <w:numPr>
        <w:numId w:val="0"/>
      </w:numPr>
      <w:spacing w:before="480"/>
    </w:pPr>
    <w:rPr>
      <w:rFonts w:ascii="Cambria" w:eastAsia="Times New Roman" w:hAnsi="Cambria"/>
      <w:bCs/>
      <w:color w:val="365F91"/>
      <w:lang w:val="en-US"/>
    </w:rPr>
  </w:style>
  <w:style w:type="paragraph" w:styleId="ListParagraph">
    <w:name w:val="List Paragraph"/>
    <w:basedOn w:val="Normal"/>
    <w:uiPriority w:val="34"/>
    <w:qFormat/>
    <w:rsid w:val="00413104"/>
    <w:pPr>
      <w:ind w:left="720"/>
      <w:contextualSpacing/>
    </w:pPr>
  </w:style>
  <w:style w:type="paragraph" w:styleId="NoSpacing">
    <w:name w:val="No Spacing"/>
    <w:uiPriority w:val="1"/>
    <w:qFormat/>
    <w:rsid w:val="00B90518"/>
    <w:rPr>
      <w:sz w:val="22"/>
      <w:szCs w:val="22"/>
      <w:lang w:val="en-GB" w:eastAsia="en-US"/>
    </w:rPr>
  </w:style>
  <w:style w:type="table" w:styleId="TableGrid">
    <w:name w:val="Table Grid"/>
    <w:basedOn w:val="TableNormal"/>
    <w:uiPriority w:val="59"/>
    <w:rsid w:val="00AF38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D118AD"/>
    <w:rPr>
      <w:color w:val="0000FF" w:themeColor="hyperlink"/>
      <w:u w:val="single"/>
    </w:rPr>
  </w:style>
  <w:style w:type="character" w:customStyle="1" w:styleId="UnresolvedMention1">
    <w:name w:val="Unresolved Mention1"/>
    <w:basedOn w:val="DefaultParagraphFont"/>
    <w:uiPriority w:val="99"/>
    <w:semiHidden/>
    <w:unhideWhenUsed/>
    <w:rsid w:val="00D118AD"/>
    <w:rPr>
      <w:color w:val="808080"/>
      <w:shd w:val="clear" w:color="auto" w:fill="E6E6E6"/>
    </w:rPr>
  </w:style>
  <w:style w:type="character" w:styleId="FollowedHyperlink">
    <w:name w:val="FollowedHyperlink"/>
    <w:basedOn w:val="DefaultParagraphFont"/>
    <w:uiPriority w:val="99"/>
    <w:semiHidden/>
    <w:unhideWhenUsed/>
    <w:rsid w:val="00225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529790">
      <w:bodyDiv w:val="1"/>
      <w:marLeft w:val="0"/>
      <w:marRight w:val="0"/>
      <w:marTop w:val="0"/>
      <w:marBottom w:val="0"/>
      <w:divBdr>
        <w:top w:val="none" w:sz="0" w:space="0" w:color="auto"/>
        <w:left w:val="none" w:sz="0" w:space="0" w:color="auto"/>
        <w:bottom w:val="none" w:sz="0" w:space="0" w:color="auto"/>
        <w:right w:val="none" w:sz="0" w:space="0" w:color="auto"/>
      </w:divBdr>
    </w:div>
    <w:div w:id="1239903168">
      <w:bodyDiv w:val="1"/>
      <w:marLeft w:val="0"/>
      <w:marRight w:val="0"/>
      <w:marTop w:val="0"/>
      <w:marBottom w:val="0"/>
      <w:divBdr>
        <w:top w:val="none" w:sz="0" w:space="0" w:color="auto"/>
        <w:left w:val="none" w:sz="0" w:space="0" w:color="auto"/>
        <w:bottom w:val="none" w:sz="0" w:space="0" w:color="auto"/>
        <w:right w:val="none" w:sz="0" w:space="0" w:color="auto"/>
      </w:divBdr>
    </w:div>
    <w:div w:id="2109499250">
      <w:bodyDiv w:val="1"/>
      <w:marLeft w:val="0"/>
      <w:marRight w:val="0"/>
      <w:marTop w:val="0"/>
      <w:marBottom w:val="0"/>
      <w:divBdr>
        <w:top w:val="none" w:sz="0" w:space="0" w:color="auto"/>
        <w:left w:val="none" w:sz="0" w:space="0" w:color="auto"/>
        <w:bottom w:val="none" w:sz="0" w:space="0" w:color="auto"/>
        <w:right w:val="none" w:sz="0" w:space="0" w:color="auto"/>
      </w:divBdr>
    </w:div>
    <w:div w:id="2127965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magnetforensic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agnetforensics.com/leg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b85aa6a-d4bc-4f6f-aabe-b8f74d2976aa">H3YUN26ZNQJU-1427175821-117731</_dlc_DocId>
    <_dlc_DocIdUrl xmlns="bb85aa6a-d4bc-4f6f-aabe-b8f74d2976aa">
      <Url>https://magnetforensicsinc.sharepoint.com/sites/contractdatabase/_layouts/15/DocIdRedir.aspx?ID=H3YUN26ZNQJU-1427175821-117731</Url>
      <Description>H3YUN26ZNQJU-1427175821-117731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354A3A5310D943AD9D48D36AE3418E" ma:contentTypeVersion="4" ma:contentTypeDescription="Create a new document." ma:contentTypeScope="" ma:versionID="6268da19548cb20c5df304a8d34977ee">
  <xsd:schema xmlns:xsd="http://www.w3.org/2001/XMLSchema" xmlns:xs="http://www.w3.org/2001/XMLSchema" xmlns:p="http://schemas.microsoft.com/office/2006/metadata/properties" xmlns:ns2="bb85aa6a-d4bc-4f6f-aabe-b8f74d2976aa" xmlns:ns3="340a02bf-4a88-4d59-9854-56dc132f1209" targetNamespace="http://schemas.microsoft.com/office/2006/metadata/properties" ma:root="true" ma:fieldsID="0f3a5a10a296916eb3efeaf2bf428fcb" ns2:_="" ns3:_="">
    <xsd:import namespace="bb85aa6a-d4bc-4f6f-aabe-b8f74d2976aa"/>
    <xsd:import namespace="340a02bf-4a88-4d59-9854-56dc132f1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5aa6a-d4bc-4f6f-aabe-b8f74d2976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0a02bf-4a88-4d59-9854-56dc132f1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7C84-5DCA-4C58-8EE9-2E7801DEBFDB}">
  <ds:schemaRefs>
    <ds:schemaRef ds:uri="http://schemas.microsoft.com/sharepoint/events"/>
  </ds:schemaRefs>
</ds:datastoreItem>
</file>

<file path=customXml/itemProps2.xml><?xml version="1.0" encoding="utf-8"?>
<ds:datastoreItem xmlns:ds="http://schemas.openxmlformats.org/officeDocument/2006/customXml" ds:itemID="{62FFAF19-E599-40EC-960F-2CBA97FBD40A}">
  <ds:schemaRefs>
    <ds:schemaRef ds:uri="bb85aa6a-d4bc-4f6f-aabe-b8f74d2976aa"/>
    <ds:schemaRef ds:uri="http://purl.org/dc/elements/1.1/"/>
    <ds:schemaRef ds:uri="http://schemas.microsoft.com/office/2006/metadata/properties"/>
    <ds:schemaRef ds:uri="http://purl.org/dc/terms/"/>
    <ds:schemaRef ds:uri="340a02bf-4a88-4d59-9854-56dc132f120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89625BC-74E6-4188-925E-8575B941ADA9}">
  <ds:schemaRefs>
    <ds:schemaRef ds:uri="http://schemas.microsoft.com/sharepoint/v3/contenttype/forms"/>
  </ds:schemaRefs>
</ds:datastoreItem>
</file>

<file path=customXml/itemProps4.xml><?xml version="1.0" encoding="utf-8"?>
<ds:datastoreItem xmlns:ds="http://schemas.openxmlformats.org/officeDocument/2006/customXml" ds:itemID="{39CF3DD0-CD26-4763-BA12-D23FA7D2F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5aa6a-d4bc-4f6f-aabe-b8f74d2976aa"/>
    <ds:schemaRef ds:uri="340a02bf-4a88-4d59-9854-56dc132f1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EA9748-AA65-483A-8B2D-D81208F8A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Personal Data Protection Policy</vt:lpstr>
    </vt:vector>
  </TitlesOfParts>
  <Company>Advisera Expert Solutions Ltd</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Protection Policy</dc:title>
  <dc:subject/>
  <dc:creator>EUGDPRAcademy</dc:creator>
  <dc:description>©2017 This template may be used by clients of Advisera Expert Solutions Ltd. in accordance with the License Agreement.</dc:description>
  <cp:lastModifiedBy>Christopher Runstedler</cp:lastModifiedBy>
  <cp:revision>3</cp:revision>
  <dcterms:created xsi:type="dcterms:W3CDTF">2019-05-28T13:22:00Z</dcterms:created>
  <dcterms:modified xsi:type="dcterms:W3CDTF">2019-05-28T13:23:00Z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Advisera Expert Solutions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ganization_name">
    <vt:lpwstr>Organization name</vt:lpwstr>
  </property>
  <property fmtid="{D5CDD505-2E9C-101B-9397-08002B2CF9AE}" pid="10" name="ContentTypeId">
    <vt:lpwstr>0x010100D2354A3A5310D943AD9D48D36AE3418E</vt:lpwstr>
  </property>
  <property fmtid="{D5CDD505-2E9C-101B-9397-08002B2CF9AE}" pid="11" name="_dlc_DocIdItemGuid">
    <vt:lpwstr>c8651579-355b-48cf-bba1-299fa5ddb811</vt:lpwstr>
  </property>
</Properties>
</file>